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29D" w:rsidRPr="00CA5E97" w:rsidRDefault="00240E77" w:rsidP="0036194D">
      <w:pPr>
        <w:rPr>
          <w:rFonts w:ascii="Arial" w:hAnsi="Arial" w:cs="Arial"/>
        </w:rPr>
      </w:pPr>
      <w:r>
        <w:rPr>
          <w:rFonts w:ascii="Arial" w:hAnsi="Arial" w:cs="Arial"/>
        </w:rPr>
        <w:t>19</w:t>
      </w:r>
      <w:r w:rsidR="005F129D" w:rsidRPr="00CA5E97">
        <w:rPr>
          <w:rFonts w:ascii="Arial" w:hAnsi="Arial" w:cs="Arial"/>
        </w:rPr>
        <w:t>/0</w:t>
      </w:r>
      <w:r>
        <w:rPr>
          <w:rFonts w:ascii="Arial" w:hAnsi="Arial" w:cs="Arial"/>
        </w:rPr>
        <w:t>6</w:t>
      </w:r>
      <w:r w:rsidR="005F129D" w:rsidRPr="00CA5E97">
        <w:rPr>
          <w:rFonts w:ascii="Arial" w:hAnsi="Arial" w:cs="Arial"/>
        </w:rPr>
        <w:t>/201</w:t>
      </w:r>
      <w:r>
        <w:rPr>
          <w:rFonts w:ascii="Arial" w:hAnsi="Arial" w:cs="Arial"/>
        </w:rPr>
        <w:t>8</w:t>
      </w:r>
    </w:p>
    <w:p w:rsidR="004A385C" w:rsidRPr="00CA5E97" w:rsidRDefault="00903747" w:rsidP="005F129D">
      <w:pPr>
        <w:rPr>
          <w:rFonts w:ascii="Arial" w:hAnsi="Arial" w:cs="Arial"/>
          <w:b/>
        </w:rPr>
      </w:pPr>
      <w:r w:rsidRPr="00CA5E97">
        <w:rPr>
          <w:rFonts w:ascii="Arial" w:hAnsi="Arial" w:cs="Arial"/>
          <w:b/>
        </w:rPr>
        <w:t>Análise dos Planos Diretores e Leis de Uso e Ocupação do Solo</w:t>
      </w:r>
    </w:p>
    <w:p w:rsidR="00F22CC9" w:rsidRPr="00CA5E97" w:rsidRDefault="001468B8" w:rsidP="004A385C">
      <w:pPr>
        <w:rPr>
          <w:rFonts w:ascii="Arial" w:hAnsi="Arial" w:cs="Arial"/>
          <w:b/>
        </w:rPr>
      </w:pPr>
      <w:r w:rsidRPr="00CA5E97">
        <w:rPr>
          <w:rFonts w:ascii="Arial" w:hAnsi="Arial" w:cs="Arial"/>
          <w:b/>
        </w:rPr>
        <w:t>Aglomeração Urbana de Piracicaba</w:t>
      </w:r>
    </w:p>
    <w:p w:rsidR="00540D11" w:rsidRPr="00CA5E97" w:rsidRDefault="00540D11" w:rsidP="004A385C">
      <w:pPr>
        <w:rPr>
          <w:rFonts w:ascii="Arial" w:hAnsi="Arial" w:cs="Arial"/>
          <w:b/>
        </w:rPr>
      </w:pPr>
    </w:p>
    <w:p w:rsidR="004A385C" w:rsidRPr="00CA5E97" w:rsidRDefault="004A385C" w:rsidP="004A385C">
      <w:pPr>
        <w:rPr>
          <w:rFonts w:ascii="Arial" w:hAnsi="Arial" w:cs="Arial"/>
          <w:b/>
        </w:rPr>
      </w:pPr>
      <w:r w:rsidRPr="00CA5E97">
        <w:rPr>
          <w:rFonts w:ascii="Arial" w:hAnsi="Arial" w:cs="Arial"/>
          <w:b/>
        </w:rPr>
        <w:t xml:space="preserve">1. </w:t>
      </w:r>
      <w:r w:rsidR="00F22CC9" w:rsidRPr="00CA5E97">
        <w:rPr>
          <w:rFonts w:ascii="Arial" w:hAnsi="Arial" w:cs="Arial"/>
          <w:b/>
        </w:rPr>
        <w:t>Introdução</w:t>
      </w:r>
    </w:p>
    <w:p w:rsidR="003C0DDA" w:rsidRPr="00CA5E97" w:rsidRDefault="003C0DDA" w:rsidP="003C0DDA">
      <w:pPr>
        <w:jc w:val="both"/>
        <w:rPr>
          <w:rFonts w:ascii="Arial" w:hAnsi="Arial" w:cs="Arial"/>
        </w:rPr>
      </w:pPr>
      <w:r w:rsidRPr="00CA5E97">
        <w:rPr>
          <w:rFonts w:ascii="Arial" w:hAnsi="Arial" w:cs="Arial"/>
        </w:rPr>
        <w:t>O plano diretor, aprovado por lei municipal, é o instrumento básico da política de desenvolvimento e expansão urbana, e é obrigatório para cidades integrantes de regiões metropolitanas e aglomerações urbanas, conforme o Estatuto da Cidade (Lei Federal nº10.257 de 10 de julho de 2001).</w:t>
      </w:r>
      <w:r w:rsidR="00540D11" w:rsidRPr="00CA5E97">
        <w:rPr>
          <w:rFonts w:ascii="Arial" w:hAnsi="Arial" w:cs="Arial"/>
        </w:rPr>
        <w:t xml:space="preserve"> De acordo com o Ministério das Cidades</w:t>
      </w:r>
      <w:r w:rsidR="00C013F3" w:rsidRPr="00CA5E97">
        <w:rPr>
          <w:rStyle w:val="Refdenotaderodap"/>
          <w:rFonts w:ascii="Arial" w:hAnsi="Arial" w:cs="Arial"/>
        </w:rPr>
        <w:footnoteReference w:id="1"/>
      </w:r>
      <w:r w:rsidR="00C013F3" w:rsidRPr="00CA5E97">
        <w:rPr>
          <w:rFonts w:ascii="Arial" w:hAnsi="Arial" w:cs="Arial"/>
        </w:rPr>
        <w:t xml:space="preserve"> o</w:t>
      </w:r>
      <w:r w:rsidR="00540D11" w:rsidRPr="00CA5E97">
        <w:rPr>
          <w:rFonts w:ascii="Arial" w:hAnsi="Arial" w:cs="Arial"/>
        </w:rPr>
        <w:t>s processos de discussão dos planos diretores municipais podem ser uma excelente oportunidade de municípios que enfrentam problemas comuns discutirem e fazerem acordos</w:t>
      </w:r>
      <w:r w:rsidR="00C013F3" w:rsidRPr="00CA5E97">
        <w:rPr>
          <w:rFonts w:ascii="Arial" w:hAnsi="Arial" w:cs="Arial"/>
        </w:rPr>
        <w:t xml:space="preserve"> em torno de questões setoriais e temáticas mais amplas que se relacionam ao desenvolvimento regional.</w:t>
      </w:r>
    </w:p>
    <w:p w:rsidR="00D95C09" w:rsidRPr="00CA5E97" w:rsidRDefault="00D95C09" w:rsidP="00077E2B">
      <w:pPr>
        <w:rPr>
          <w:rFonts w:ascii="Arial" w:hAnsi="Arial" w:cs="Arial"/>
        </w:rPr>
      </w:pPr>
      <w:r w:rsidRPr="00CA5E97">
        <w:rPr>
          <w:rFonts w:ascii="Arial" w:hAnsi="Arial" w:cs="Arial"/>
        </w:rPr>
        <w:t xml:space="preserve">Considerando que </w:t>
      </w:r>
      <w:r w:rsidR="00F22CC9" w:rsidRPr="00CA5E97">
        <w:rPr>
          <w:rFonts w:ascii="Arial" w:hAnsi="Arial" w:cs="Arial"/>
        </w:rPr>
        <w:t>o</w:t>
      </w:r>
      <w:r w:rsidRPr="00CA5E97">
        <w:rPr>
          <w:rFonts w:ascii="Arial" w:hAnsi="Arial" w:cs="Arial"/>
        </w:rPr>
        <w:t xml:space="preserve"> plano diretor e o</w:t>
      </w:r>
      <w:r w:rsidR="00F22CC9" w:rsidRPr="00CA5E97">
        <w:rPr>
          <w:rFonts w:ascii="Arial" w:hAnsi="Arial" w:cs="Arial"/>
        </w:rPr>
        <w:t xml:space="preserve"> zoneamento são</w:t>
      </w:r>
      <w:r w:rsidR="00C07A77" w:rsidRPr="00CA5E97">
        <w:rPr>
          <w:rFonts w:ascii="Arial" w:hAnsi="Arial" w:cs="Arial"/>
        </w:rPr>
        <w:t xml:space="preserve"> instrumento</w:t>
      </w:r>
      <w:r w:rsidR="00F22CC9" w:rsidRPr="00CA5E97">
        <w:rPr>
          <w:rFonts w:ascii="Arial" w:hAnsi="Arial" w:cs="Arial"/>
        </w:rPr>
        <w:t>s da política urbana</w:t>
      </w:r>
      <w:r w:rsidR="00C07A77" w:rsidRPr="00CA5E97">
        <w:rPr>
          <w:rFonts w:ascii="Arial" w:hAnsi="Arial" w:cs="Arial"/>
        </w:rPr>
        <w:t xml:space="preserve"> </w:t>
      </w:r>
      <w:r w:rsidRPr="00CA5E97">
        <w:rPr>
          <w:rFonts w:ascii="Arial" w:hAnsi="Arial" w:cs="Arial"/>
        </w:rPr>
        <w:t>reconhecidos pelo Estatuto da Cidade e Estatuto da Metrópole</w:t>
      </w:r>
      <w:r w:rsidR="006041F3" w:rsidRPr="00CA5E97">
        <w:rPr>
          <w:rFonts w:ascii="Arial" w:hAnsi="Arial" w:cs="Arial"/>
        </w:rPr>
        <w:t xml:space="preserve"> (Lei Federal nº 13.089 de 12 de janeiro de 2015)</w:t>
      </w:r>
      <w:r w:rsidRPr="00CA5E97">
        <w:rPr>
          <w:rFonts w:ascii="Arial" w:hAnsi="Arial" w:cs="Arial"/>
        </w:rPr>
        <w:t>, visando à</w:t>
      </w:r>
      <w:r w:rsidR="00C07A77" w:rsidRPr="00CA5E97">
        <w:rPr>
          <w:rFonts w:ascii="Arial" w:hAnsi="Arial" w:cs="Arial"/>
        </w:rPr>
        <w:t xml:space="preserve"> implementação de diretrizes de ordena</w:t>
      </w:r>
      <w:r w:rsidRPr="00CA5E97">
        <w:rPr>
          <w:rFonts w:ascii="Arial" w:hAnsi="Arial" w:cs="Arial"/>
        </w:rPr>
        <w:t>mento territorial, o macrozoneamento do PDUI</w:t>
      </w:r>
      <w:r w:rsidR="00C07A77" w:rsidRPr="00CA5E97">
        <w:rPr>
          <w:rFonts w:ascii="Arial" w:hAnsi="Arial" w:cs="Arial"/>
        </w:rPr>
        <w:t xml:space="preserve"> </w:t>
      </w:r>
      <w:r w:rsidR="00F935B0" w:rsidRPr="00CA5E97">
        <w:rPr>
          <w:rFonts w:ascii="Arial" w:hAnsi="Arial" w:cs="Arial"/>
        </w:rPr>
        <w:t xml:space="preserve">da </w:t>
      </w:r>
      <w:r w:rsidR="001468B8" w:rsidRPr="00CA5E97">
        <w:rPr>
          <w:rFonts w:ascii="Arial" w:hAnsi="Arial" w:cs="Arial"/>
        </w:rPr>
        <w:t>Aglomeração Urbana de Piracicaba</w:t>
      </w:r>
      <w:r w:rsidR="006041F3" w:rsidRPr="00CA5E97">
        <w:rPr>
          <w:rFonts w:ascii="Arial" w:hAnsi="Arial" w:cs="Arial"/>
        </w:rPr>
        <w:t xml:space="preserve"> (AUP)</w:t>
      </w:r>
      <w:r w:rsidR="00F935B0" w:rsidRPr="00CA5E97">
        <w:rPr>
          <w:rFonts w:ascii="Arial" w:hAnsi="Arial" w:cs="Arial"/>
        </w:rPr>
        <w:t xml:space="preserve"> </w:t>
      </w:r>
      <w:r w:rsidR="00C07A77" w:rsidRPr="00CA5E97">
        <w:rPr>
          <w:rFonts w:ascii="Arial" w:hAnsi="Arial" w:cs="Arial"/>
        </w:rPr>
        <w:t>dever</w:t>
      </w:r>
      <w:r w:rsidRPr="00CA5E97">
        <w:rPr>
          <w:rFonts w:ascii="Arial" w:hAnsi="Arial" w:cs="Arial"/>
        </w:rPr>
        <w:t>á</w:t>
      </w:r>
      <w:r w:rsidR="00C07A77" w:rsidRPr="00CA5E97">
        <w:rPr>
          <w:rFonts w:ascii="Arial" w:hAnsi="Arial" w:cs="Arial"/>
        </w:rPr>
        <w:t xml:space="preserve"> ter caráter orientador para que os municípios promovam, no futuro, a</w:t>
      </w:r>
      <w:r w:rsidR="006041F3" w:rsidRPr="00CA5E97">
        <w:rPr>
          <w:rFonts w:ascii="Arial" w:hAnsi="Arial" w:cs="Arial"/>
        </w:rPr>
        <w:t xml:space="preserve"> elaboração ou</w:t>
      </w:r>
      <w:r w:rsidR="00C07A77" w:rsidRPr="00CA5E97">
        <w:rPr>
          <w:rFonts w:ascii="Arial" w:hAnsi="Arial" w:cs="Arial"/>
        </w:rPr>
        <w:t xml:space="preserve"> readequação de seus planos diretores, especialmente no que diz respeito aos processos de parcelamento, uso e ocupação do solo ou de licenciamento de empreendimentos urbanos, além da orientação em projetos setoriais.</w:t>
      </w:r>
    </w:p>
    <w:p w:rsidR="00066D15" w:rsidRPr="00CA5E97" w:rsidRDefault="00C07A77" w:rsidP="00066D15">
      <w:pPr>
        <w:jc w:val="both"/>
        <w:rPr>
          <w:rFonts w:ascii="Arial" w:hAnsi="Arial" w:cs="Arial"/>
        </w:rPr>
      </w:pPr>
      <w:r w:rsidRPr="00CA5E97">
        <w:rPr>
          <w:rFonts w:ascii="Arial" w:hAnsi="Arial" w:cs="Arial"/>
        </w:rPr>
        <w:t>Neste sentido</w:t>
      </w:r>
      <w:r w:rsidR="003C5269" w:rsidRPr="00CA5E97">
        <w:rPr>
          <w:rFonts w:ascii="Arial" w:hAnsi="Arial" w:cs="Arial"/>
        </w:rPr>
        <w:t>,</w:t>
      </w:r>
      <w:r w:rsidRPr="00CA5E97">
        <w:rPr>
          <w:rFonts w:ascii="Arial" w:hAnsi="Arial" w:cs="Arial"/>
        </w:rPr>
        <w:t xml:space="preserve"> </w:t>
      </w:r>
      <w:r w:rsidR="00832D81" w:rsidRPr="00CA5E97">
        <w:rPr>
          <w:rFonts w:ascii="Arial" w:hAnsi="Arial" w:cs="Arial"/>
        </w:rPr>
        <w:t>torn</w:t>
      </w:r>
      <w:r w:rsidR="00535C6E" w:rsidRPr="00CA5E97">
        <w:rPr>
          <w:rFonts w:ascii="Arial" w:hAnsi="Arial" w:cs="Arial"/>
        </w:rPr>
        <w:t>a</w:t>
      </w:r>
      <w:r w:rsidR="00832D81" w:rsidRPr="00CA5E97">
        <w:rPr>
          <w:rFonts w:ascii="Arial" w:hAnsi="Arial" w:cs="Arial"/>
        </w:rPr>
        <w:t>-se fundamental uma</w:t>
      </w:r>
      <w:r w:rsidR="008E2DAF" w:rsidRPr="00CA5E97">
        <w:rPr>
          <w:rFonts w:ascii="Arial" w:hAnsi="Arial" w:cs="Arial"/>
        </w:rPr>
        <w:t xml:space="preserve"> leitura </w:t>
      </w:r>
      <w:r w:rsidR="00535C6E" w:rsidRPr="00CA5E97">
        <w:rPr>
          <w:rFonts w:ascii="Arial" w:hAnsi="Arial" w:cs="Arial"/>
        </w:rPr>
        <w:t>atual do zoneamento existente n</w:t>
      </w:r>
      <w:r w:rsidR="008E2DAF" w:rsidRPr="00CA5E97">
        <w:rPr>
          <w:rFonts w:ascii="Arial" w:hAnsi="Arial" w:cs="Arial"/>
        </w:rPr>
        <w:t xml:space="preserve">os </w:t>
      </w:r>
      <w:r w:rsidR="001468B8" w:rsidRPr="00CA5E97">
        <w:rPr>
          <w:rFonts w:ascii="Arial" w:hAnsi="Arial" w:cs="Arial"/>
        </w:rPr>
        <w:t>23</w:t>
      </w:r>
      <w:r w:rsidR="008E2DAF" w:rsidRPr="00CA5E97">
        <w:rPr>
          <w:rFonts w:ascii="Arial" w:hAnsi="Arial" w:cs="Arial"/>
        </w:rPr>
        <w:t xml:space="preserve"> municípios e a análise dos seus planos diretores e leis de uso e ocupação do solo. </w:t>
      </w:r>
      <w:r w:rsidR="00066D15" w:rsidRPr="00CA5E97">
        <w:rPr>
          <w:rFonts w:ascii="Arial" w:hAnsi="Arial" w:cs="Arial"/>
        </w:rPr>
        <w:t xml:space="preserve">Este levantamento permite identificar, de um lado, a possibilidade de existência de conflitos entre legislações e políticas municipais e, de outro, facilitar o reconhecimento de potencialidades que possam ter expressão em um contexto de maior dinamismo regional. A identificação dessas potencialidades e conflitos assume caráter orientador para ações do Estado e da </w:t>
      </w:r>
      <w:r w:rsidR="009C436E">
        <w:rPr>
          <w:rFonts w:ascii="Arial" w:hAnsi="Arial" w:cs="Arial"/>
        </w:rPr>
        <w:t>Aglomeração Urbana</w:t>
      </w:r>
      <w:r w:rsidR="00066D15" w:rsidRPr="00CA5E97">
        <w:rPr>
          <w:rFonts w:ascii="Arial" w:hAnsi="Arial" w:cs="Arial"/>
        </w:rPr>
        <w:t>, isoladamente ou em parceria com os municípios, representando um importante subsídio ao macrozoneamento da AUP.</w:t>
      </w:r>
    </w:p>
    <w:p w:rsidR="00066D15" w:rsidRPr="00CA5E97" w:rsidRDefault="00903747" w:rsidP="00066D15">
      <w:pPr>
        <w:jc w:val="both"/>
        <w:rPr>
          <w:rFonts w:ascii="Arial" w:hAnsi="Arial" w:cs="Arial"/>
        </w:rPr>
      </w:pPr>
      <w:r w:rsidRPr="00CA5E97">
        <w:rPr>
          <w:rFonts w:ascii="Arial" w:hAnsi="Arial" w:cs="Arial"/>
        </w:rPr>
        <w:t>Neste trabalho</w:t>
      </w:r>
      <w:r w:rsidR="00066D15" w:rsidRPr="00CA5E97">
        <w:rPr>
          <w:rFonts w:ascii="Arial" w:hAnsi="Arial" w:cs="Arial"/>
        </w:rPr>
        <w:t xml:space="preserve">, </w:t>
      </w:r>
      <w:r w:rsidRPr="00CA5E97">
        <w:rPr>
          <w:rFonts w:ascii="Arial" w:hAnsi="Arial" w:cs="Arial"/>
        </w:rPr>
        <w:t>foi realizada</w:t>
      </w:r>
      <w:r w:rsidR="00066D15" w:rsidRPr="00CA5E97">
        <w:rPr>
          <w:rFonts w:ascii="Arial" w:hAnsi="Arial" w:cs="Arial"/>
        </w:rPr>
        <w:t xml:space="preserve"> uma leitura analítica dos textos das leis dos planos diretores e leis de uso e ocupação de cada município e, simultaneamente, elaborado o mapeamento dos instrumentos relativos ao ordenamento territorial: macrozoneamento, zoneamento, zonas especiais de interesse social e zonas especiais de interesse ambiental. </w:t>
      </w:r>
      <w:r w:rsidR="002265BB" w:rsidRPr="00CA5E97">
        <w:rPr>
          <w:rFonts w:ascii="Arial" w:hAnsi="Arial" w:cs="Arial"/>
        </w:rPr>
        <w:t>O resultado pode ser visto no Mapa 1 (Macro)zoneamentos municipais existentes.</w:t>
      </w:r>
    </w:p>
    <w:p w:rsidR="00066D15" w:rsidRPr="00CA5E97" w:rsidRDefault="00066D15" w:rsidP="00066D15">
      <w:pPr>
        <w:jc w:val="both"/>
        <w:rPr>
          <w:rFonts w:ascii="Arial" w:hAnsi="Arial" w:cs="Arial"/>
          <w:color w:val="FF0000"/>
        </w:rPr>
      </w:pPr>
      <w:r w:rsidRPr="00CA5E97">
        <w:rPr>
          <w:rFonts w:ascii="Arial" w:hAnsi="Arial" w:cs="Arial"/>
        </w:rPr>
        <w:lastRenderedPageBreak/>
        <w:t xml:space="preserve">Na </w:t>
      </w:r>
      <w:r w:rsidR="00903747" w:rsidRPr="00CA5E97">
        <w:rPr>
          <w:rFonts w:ascii="Arial" w:hAnsi="Arial" w:cs="Arial"/>
        </w:rPr>
        <w:t>Aglomeração Urbana de Piracicaba</w:t>
      </w:r>
      <w:r w:rsidRPr="00CA5E97">
        <w:rPr>
          <w:rFonts w:ascii="Arial" w:hAnsi="Arial" w:cs="Arial"/>
        </w:rPr>
        <w:t>, dos 2</w:t>
      </w:r>
      <w:r w:rsidR="00903747" w:rsidRPr="00CA5E97">
        <w:rPr>
          <w:rFonts w:ascii="Arial" w:hAnsi="Arial" w:cs="Arial"/>
        </w:rPr>
        <w:t>3</w:t>
      </w:r>
      <w:r w:rsidRPr="00CA5E97">
        <w:rPr>
          <w:rFonts w:ascii="Arial" w:hAnsi="Arial" w:cs="Arial"/>
        </w:rPr>
        <w:t xml:space="preserve"> municípios, </w:t>
      </w:r>
      <w:r w:rsidR="006C6459" w:rsidRPr="00CA5E97">
        <w:rPr>
          <w:rFonts w:ascii="Arial" w:hAnsi="Arial" w:cs="Arial"/>
        </w:rPr>
        <w:t>seis</w:t>
      </w:r>
      <w:r w:rsidRPr="00CA5E97">
        <w:rPr>
          <w:rFonts w:ascii="Arial" w:hAnsi="Arial" w:cs="Arial"/>
        </w:rPr>
        <w:t xml:space="preserve"> não possuem plano diretor: </w:t>
      </w:r>
      <w:r w:rsidR="006C6459" w:rsidRPr="00CA5E97">
        <w:rPr>
          <w:rFonts w:ascii="Arial" w:hAnsi="Arial" w:cs="Arial"/>
        </w:rPr>
        <w:t xml:space="preserve">Águas de São Pedro, Corumbataí, Charqueada, </w:t>
      </w:r>
      <w:proofErr w:type="spellStart"/>
      <w:r w:rsidR="006C6459" w:rsidRPr="00CA5E97">
        <w:rPr>
          <w:rFonts w:ascii="Arial" w:hAnsi="Arial" w:cs="Arial"/>
        </w:rPr>
        <w:t>Ipeúna</w:t>
      </w:r>
      <w:proofErr w:type="spellEnd"/>
      <w:r w:rsidR="006C6459" w:rsidRPr="00CA5E97">
        <w:rPr>
          <w:rFonts w:ascii="Arial" w:hAnsi="Arial" w:cs="Arial"/>
        </w:rPr>
        <w:t xml:space="preserve">, </w:t>
      </w:r>
      <w:proofErr w:type="spellStart"/>
      <w:r w:rsidR="006C6459" w:rsidRPr="00CA5E97">
        <w:rPr>
          <w:rFonts w:ascii="Arial" w:hAnsi="Arial" w:cs="Arial"/>
        </w:rPr>
        <w:t>Mombuca</w:t>
      </w:r>
      <w:proofErr w:type="spellEnd"/>
      <w:r w:rsidR="006C6459" w:rsidRPr="00CA5E97">
        <w:rPr>
          <w:rFonts w:ascii="Arial" w:hAnsi="Arial" w:cs="Arial"/>
        </w:rPr>
        <w:t xml:space="preserve"> e </w:t>
      </w:r>
      <w:proofErr w:type="spellStart"/>
      <w:r w:rsidR="006C6459" w:rsidRPr="00CA5E97">
        <w:rPr>
          <w:rFonts w:ascii="Arial" w:hAnsi="Arial" w:cs="Arial"/>
        </w:rPr>
        <w:t>Rafard</w:t>
      </w:r>
      <w:proofErr w:type="spellEnd"/>
      <w:r w:rsidRPr="00CA5E97">
        <w:rPr>
          <w:rFonts w:ascii="Arial" w:hAnsi="Arial" w:cs="Arial"/>
        </w:rPr>
        <w:t>.</w:t>
      </w:r>
      <w:r w:rsidRPr="00CA5E97">
        <w:rPr>
          <w:rFonts w:ascii="Arial" w:hAnsi="Arial" w:cs="Arial"/>
          <w:color w:val="FF0000"/>
        </w:rPr>
        <w:t xml:space="preserve"> </w:t>
      </w:r>
      <w:r w:rsidRPr="00CA5E97">
        <w:rPr>
          <w:rFonts w:ascii="Arial" w:hAnsi="Arial" w:cs="Arial"/>
        </w:rPr>
        <w:t xml:space="preserve">Dos outros </w:t>
      </w:r>
      <w:r w:rsidR="006C6459" w:rsidRPr="00CA5E97">
        <w:rPr>
          <w:rFonts w:ascii="Arial" w:hAnsi="Arial" w:cs="Arial"/>
        </w:rPr>
        <w:t>17</w:t>
      </w:r>
      <w:r w:rsidRPr="00CA5E97">
        <w:rPr>
          <w:rFonts w:ascii="Arial" w:hAnsi="Arial" w:cs="Arial"/>
        </w:rPr>
        <w:t xml:space="preserve"> municípios,</w:t>
      </w:r>
      <w:r w:rsidRPr="00CA5E97">
        <w:rPr>
          <w:rFonts w:ascii="Arial" w:hAnsi="Arial" w:cs="Arial"/>
          <w:color w:val="FF0000"/>
        </w:rPr>
        <w:t xml:space="preserve"> </w:t>
      </w:r>
      <w:r w:rsidR="004823D0" w:rsidRPr="00CA5E97">
        <w:rPr>
          <w:rFonts w:ascii="Arial" w:hAnsi="Arial" w:cs="Arial"/>
        </w:rPr>
        <w:t>9</w:t>
      </w:r>
      <w:r w:rsidRPr="00CA5E97">
        <w:rPr>
          <w:rFonts w:ascii="Arial" w:hAnsi="Arial" w:cs="Arial"/>
        </w:rPr>
        <w:t xml:space="preserve"> estão com a revisão do plano atrasada (mais de dez anos sem atualização). Outros </w:t>
      </w:r>
      <w:r w:rsidR="004823D0" w:rsidRPr="00CA5E97">
        <w:rPr>
          <w:rFonts w:ascii="Arial" w:hAnsi="Arial" w:cs="Arial"/>
        </w:rPr>
        <w:t>quatro</w:t>
      </w:r>
      <w:r w:rsidRPr="00CA5E97">
        <w:rPr>
          <w:rFonts w:ascii="Arial" w:hAnsi="Arial" w:cs="Arial"/>
        </w:rPr>
        <w:t xml:space="preserve"> municípios, apesar de possuírem planos diretores, não têm </w:t>
      </w:r>
      <w:r w:rsidR="004823D0" w:rsidRPr="00CA5E97">
        <w:rPr>
          <w:rFonts w:ascii="Arial" w:hAnsi="Arial" w:cs="Arial"/>
        </w:rPr>
        <w:t xml:space="preserve">ou não disponibilizaram </w:t>
      </w:r>
      <w:r w:rsidRPr="00CA5E97">
        <w:rPr>
          <w:rFonts w:ascii="Arial" w:hAnsi="Arial" w:cs="Arial"/>
        </w:rPr>
        <w:t xml:space="preserve">mapas de ordenamento territorial: </w:t>
      </w:r>
      <w:proofErr w:type="spellStart"/>
      <w:r w:rsidR="004823D0" w:rsidRPr="00CA5E97">
        <w:rPr>
          <w:rFonts w:ascii="Arial" w:hAnsi="Arial" w:cs="Arial"/>
        </w:rPr>
        <w:t>Iracemápolis</w:t>
      </w:r>
      <w:proofErr w:type="spellEnd"/>
      <w:r w:rsidRPr="00CA5E97">
        <w:rPr>
          <w:rFonts w:ascii="Arial" w:hAnsi="Arial" w:cs="Arial"/>
        </w:rPr>
        <w:t xml:space="preserve">, </w:t>
      </w:r>
      <w:r w:rsidR="004823D0" w:rsidRPr="00CA5E97">
        <w:rPr>
          <w:rFonts w:ascii="Arial" w:hAnsi="Arial" w:cs="Arial"/>
        </w:rPr>
        <w:t>Analândia, Santa Maria da Serra e Saltinho</w:t>
      </w:r>
      <w:r w:rsidRPr="00CA5E97">
        <w:rPr>
          <w:rFonts w:ascii="Arial" w:hAnsi="Arial" w:cs="Arial"/>
        </w:rPr>
        <w:t>.</w:t>
      </w:r>
      <w:r w:rsidRPr="00CA5E97">
        <w:rPr>
          <w:rFonts w:ascii="Arial" w:hAnsi="Arial" w:cs="Arial"/>
          <w:color w:val="FF0000"/>
        </w:rPr>
        <w:t xml:space="preserve"> </w:t>
      </w:r>
    </w:p>
    <w:p w:rsidR="00066D15" w:rsidRPr="00CA5E97" w:rsidRDefault="00066D15" w:rsidP="00066D15">
      <w:pPr>
        <w:jc w:val="both"/>
        <w:rPr>
          <w:rFonts w:ascii="Arial" w:hAnsi="Arial" w:cs="Arial"/>
        </w:rPr>
      </w:pPr>
      <w:r w:rsidRPr="00CA5E97">
        <w:rPr>
          <w:rFonts w:ascii="Arial" w:hAnsi="Arial" w:cs="Arial"/>
        </w:rPr>
        <w:t xml:space="preserve">Os mapeamentos foram realizados através de arquivos vetorizados ou imagens em </w:t>
      </w:r>
      <w:proofErr w:type="spellStart"/>
      <w:r w:rsidRPr="00CA5E97">
        <w:rPr>
          <w:rFonts w:ascii="Arial" w:hAnsi="Arial" w:cs="Arial"/>
        </w:rPr>
        <w:t>pdf</w:t>
      </w:r>
      <w:proofErr w:type="spellEnd"/>
      <w:r w:rsidRPr="00CA5E97">
        <w:rPr>
          <w:rFonts w:ascii="Arial" w:hAnsi="Arial" w:cs="Arial"/>
        </w:rPr>
        <w:t xml:space="preserve">. Na maioria dos casos, o </w:t>
      </w:r>
      <w:proofErr w:type="spellStart"/>
      <w:r w:rsidRPr="00CA5E97">
        <w:rPr>
          <w:rFonts w:ascii="Arial" w:hAnsi="Arial" w:cs="Arial"/>
        </w:rPr>
        <w:t>georreferenciamento</w:t>
      </w:r>
      <w:proofErr w:type="spellEnd"/>
      <w:r w:rsidRPr="00CA5E97">
        <w:rPr>
          <w:rFonts w:ascii="Arial" w:hAnsi="Arial" w:cs="Arial"/>
        </w:rPr>
        <w:t xml:space="preserve"> foi feito pela equipe da Emplasa, ajustando os limites municipais dos arquivos enviados aos limites oficias do IGC - Instituto Geográfico Cartográfico do Estado de São Paulo. Foi solicitado aos municípios que não têm plano diretor ou mapa de zoneamento os limites do perímetro urbano, definindo para estes casos somente duas áreas: urbanas e rurais. Para o município de </w:t>
      </w:r>
      <w:r w:rsidR="004823D0" w:rsidRPr="00CA5E97">
        <w:rPr>
          <w:rFonts w:ascii="Arial" w:hAnsi="Arial" w:cs="Arial"/>
        </w:rPr>
        <w:t>Analândia</w:t>
      </w:r>
      <w:r w:rsidRPr="00CA5E97">
        <w:rPr>
          <w:rFonts w:ascii="Arial" w:hAnsi="Arial" w:cs="Arial"/>
        </w:rPr>
        <w:t xml:space="preserve"> foi utilizada a caracterização urbana e rural do Censo Demográfico IBGE, de 2010, já que não foi possível obter o perímetro urbano.</w:t>
      </w:r>
    </w:p>
    <w:p w:rsidR="002265BB" w:rsidRPr="00CA5E97" w:rsidRDefault="002265BB" w:rsidP="002265BB">
      <w:pPr>
        <w:pStyle w:val="Pargrafobsico"/>
        <w:jc w:val="both"/>
        <w:rPr>
          <w:rFonts w:ascii="Arial" w:hAnsi="Arial" w:cs="Arial"/>
          <w:color w:val="auto"/>
          <w:sz w:val="22"/>
          <w:szCs w:val="22"/>
        </w:rPr>
      </w:pPr>
      <w:r w:rsidRPr="00CA5E97">
        <w:rPr>
          <w:rStyle w:val="Corpo"/>
          <w:color w:val="auto"/>
          <w:sz w:val="22"/>
          <w:szCs w:val="22"/>
        </w:rPr>
        <w:t>A leitura e o mapeamento dos planos diretores e leis de uso e ocupação do solo dos municípios da RMS permitiu a identificação dos conceitos, características e diretrizes mais utilizados nos seus ordenamentos territoriais. O próximo passo será fazer uma reclassificação dos diversos tipos de zoneamento encontrados e obter uma legenda única de macrozonas compatibilizadas. Esta atividade será desenvolvida no futuro Grupo de Trabalho de Macrozoneamento da AUP.</w:t>
      </w:r>
    </w:p>
    <w:p w:rsidR="003E1DBB" w:rsidRDefault="003E1DBB" w:rsidP="00535C6E">
      <w:pPr>
        <w:jc w:val="both"/>
        <w:rPr>
          <w:rFonts w:ascii="Arial" w:hAnsi="Arial" w:cs="Arial"/>
          <w:sz w:val="20"/>
          <w:szCs w:val="20"/>
        </w:rPr>
      </w:pPr>
    </w:p>
    <w:p w:rsidR="00CA5E97" w:rsidRDefault="00CA5E97">
      <w:pPr>
        <w:spacing w:after="0" w:line="240" w:lineRule="auto"/>
        <w:rPr>
          <w:rFonts w:ascii="Arial" w:hAnsi="Arial" w:cs="Arial"/>
          <w:sz w:val="20"/>
          <w:szCs w:val="20"/>
        </w:rPr>
        <w:sectPr w:rsidR="00CA5E97" w:rsidSect="00C63F8B">
          <w:headerReference w:type="default" r:id="rId8"/>
          <w:footerReference w:type="default" r:id="rId9"/>
          <w:pgSz w:w="11907" w:h="16840" w:code="9"/>
          <w:pgMar w:top="2268" w:right="708" w:bottom="1701" w:left="1418" w:header="567" w:footer="964" w:gutter="0"/>
          <w:cols w:space="720"/>
        </w:sectPr>
      </w:pPr>
    </w:p>
    <w:p w:rsidR="00CA5E97" w:rsidRDefault="00CA5E97">
      <w:pPr>
        <w:spacing w:after="0" w:line="240" w:lineRule="auto"/>
        <w:rPr>
          <w:rFonts w:ascii="Arial" w:hAnsi="Arial" w:cs="Arial"/>
          <w:b/>
          <w:sz w:val="20"/>
          <w:szCs w:val="20"/>
        </w:rPr>
      </w:pPr>
      <w:r w:rsidRPr="00CA5E97">
        <w:rPr>
          <w:rFonts w:ascii="Arial" w:hAnsi="Arial" w:cs="Arial"/>
          <w:b/>
          <w:sz w:val="20"/>
          <w:szCs w:val="20"/>
        </w:rPr>
        <w:lastRenderedPageBreak/>
        <w:t>Mapa 1 - (Macro)zoneamentos municipais existentes na Aglomeração Urbana de Piracicaba</w:t>
      </w:r>
      <w:r>
        <w:rPr>
          <w:rFonts w:ascii="Arial" w:hAnsi="Arial" w:cs="Arial"/>
          <w:noProof/>
          <w:sz w:val="20"/>
          <w:szCs w:val="20"/>
          <w:lang w:eastAsia="pt-BR"/>
        </w:rPr>
        <w:drawing>
          <wp:inline distT="0" distB="0" distL="0" distR="0">
            <wp:extent cx="7390888" cy="5220000"/>
            <wp:effectExtent l="19050" t="0" r="512" b="0"/>
            <wp:docPr id="28" name="Imagem 27" descr="AUP (Macro)zoneamentos municipais_sem vi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P (Macro)zoneamentos municipais_sem viario.jpg"/>
                    <pic:cNvPicPr/>
                  </pic:nvPicPr>
                  <pic:blipFill>
                    <a:blip r:embed="rId10" cstate="print"/>
                    <a:stretch>
                      <a:fillRect/>
                    </a:stretch>
                  </pic:blipFill>
                  <pic:spPr>
                    <a:xfrm>
                      <a:off x="0" y="0"/>
                      <a:ext cx="7390888" cy="5220000"/>
                    </a:xfrm>
                    <a:prstGeom prst="rect">
                      <a:avLst/>
                    </a:prstGeom>
                  </pic:spPr>
                </pic:pic>
              </a:graphicData>
            </a:graphic>
          </wp:inline>
        </w:drawing>
      </w:r>
    </w:p>
    <w:p w:rsidR="00CA5E97" w:rsidRDefault="00CA5E97">
      <w:pPr>
        <w:spacing w:after="0" w:line="240" w:lineRule="auto"/>
        <w:rPr>
          <w:rFonts w:ascii="Arial" w:hAnsi="Arial" w:cs="Arial"/>
          <w:b/>
          <w:sz w:val="20"/>
          <w:szCs w:val="20"/>
        </w:rPr>
      </w:pPr>
    </w:p>
    <w:p w:rsidR="00CA5E97" w:rsidRDefault="00CA5E97">
      <w:pPr>
        <w:spacing w:after="0" w:line="240" w:lineRule="auto"/>
        <w:rPr>
          <w:rFonts w:ascii="Arial" w:hAnsi="Arial" w:cs="Arial"/>
          <w:b/>
          <w:sz w:val="20"/>
          <w:szCs w:val="20"/>
        </w:rPr>
      </w:pPr>
      <w:r>
        <w:rPr>
          <w:rFonts w:ascii="Arial" w:hAnsi="Arial" w:cs="Arial"/>
          <w:b/>
          <w:sz w:val="20"/>
          <w:szCs w:val="20"/>
        </w:rPr>
        <w:t>Figura 1 - Legenda dos (macro)zoneamentos municipais existentes na Aglomeração Urbana de Piracicaba</w:t>
      </w:r>
      <w:r>
        <w:rPr>
          <w:rFonts w:ascii="Arial" w:hAnsi="Arial" w:cs="Arial"/>
          <w:noProof/>
          <w:sz w:val="20"/>
          <w:szCs w:val="20"/>
          <w:lang w:eastAsia="pt-BR"/>
        </w:rPr>
        <w:drawing>
          <wp:inline distT="0" distB="0" distL="0" distR="0">
            <wp:extent cx="7141011" cy="4896000"/>
            <wp:effectExtent l="19050" t="0" r="2739" b="0"/>
            <wp:docPr id="29" name="Imagem 28" descr="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jpg"/>
                    <pic:cNvPicPr/>
                  </pic:nvPicPr>
                  <pic:blipFill>
                    <a:blip r:embed="rId11" cstate="print"/>
                    <a:srcRect t="1095" b="1825"/>
                    <a:stretch>
                      <a:fillRect/>
                    </a:stretch>
                  </pic:blipFill>
                  <pic:spPr>
                    <a:xfrm>
                      <a:off x="0" y="0"/>
                      <a:ext cx="7141011" cy="4896000"/>
                    </a:xfrm>
                    <a:prstGeom prst="rect">
                      <a:avLst/>
                    </a:prstGeom>
                  </pic:spPr>
                </pic:pic>
              </a:graphicData>
            </a:graphic>
          </wp:inline>
        </w:drawing>
      </w:r>
    </w:p>
    <w:p w:rsidR="00D66811" w:rsidRDefault="00D66811">
      <w:pPr>
        <w:spacing w:after="0" w:line="240" w:lineRule="auto"/>
        <w:rPr>
          <w:rFonts w:ascii="Arial" w:hAnsi="Arial" w:cs="Arial"/>
          <w:b/>
          <w:sz w:val="20"/>
          <w:szCs w:val="20"/>
        </w:rPr>
      </w:pPr>
    </w:p>
    <w:p w:rsidR="00D66811" w:rsidRDefault="00D66811">
      <w:pPr>
        <w:spacing w:after="0" w:line="240" w:lineRule="auto"/>
        <w:rPr>
          <w:rFonts w:ascii="Arial" w:hAnsi="Arial" w:cs="Arial"/>
          <w:b/>
          <w:sz w:val="20"/>
          <w:szCs w:val="20"/>
        </w:rPr>
      </w:pPr>
    </w:p>
    <w:p w:rsidR="00D66811" w:rsidRDefault="00D66811" w:rsidP="00D66811">
      <w:pPr>
        <w:pStyle w:val="Pargrafobsico"/>
        <w:jc w:val="both"/>
        <w:rPr>
          <w:rStyle w:val="Corpo2"/>
          <w:color w:val="auto"/>
          <w:sz w:val="18"/>
          <w:szCs w:val="18"/>
          <w:u w:val="single"/>
        </w:rPr>
      </w:pPr>
      <w:r>
        <w:rPr>
          <w:rStyle w:val="Corpo2"/>
          <w:color w:val="auto"/>
          <w:sz w:val="18"/>
          <w:szCs w:val="18"/>
          <w:u w:val="single"/>
        </w:rPr>
        <w:t>Legenda Unificada</w:t>
      </w:r>
    </w:p>
    <w:p w:rsidR="00D66811" w:rsidRDefault="00D66811" w:rsidP="00D66811">
      <w:pPr>
        <w:pStyle w:val="Pargrafobsico"/>
        <w:jc w:val="both"/>
        <w:rPr>
          <w:rStyle w:val="Corpo2"/>
          <w:color w:val="auto"/>
          <w:sz w:val="18"/>
          <w:szCs w:val="18"/>
          <w:u w:val="single"/>
        </w:rPr>
      </w:pPr>
    </w:p>
    <w:p w:rsidR="00D66811" w:rsidRPr="00B13CF2" w:rsidRDefault="00D66811" w:rsidP="00D66811">
      <w:pPr>
        <w:pStyle w:val="Pargrafobsico"/>
        <w:jc w:val="both"/>
        <w:rPr>
          <w:rStyle w:val="Corpo"/>
          <w:color w:val="auto"/>
          <w:sz w:val="18"/>
          <w:szCs w:val="18"/>
          <w:u w:val="single"/>
        </w:rPr>
      </w:pPr>
      <w:r w:rsidRPr="00B13CF2">
        <w:rPr>
          <w:rStyle w:val="Corpo2"/>
          <w:color w:val="auto"/>
          <w:sz w:val="18"/>
          <w:szCs w:val="18"/>
          <w:u w:val="single"/>
        </w:rPr>
        <w:t>Macrozona Urbana – Consolidada</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Conceito: Possui nível elevado de urbanização, concentração de empregos e serviços, configurando bairros consolidados</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Características: É formada pelas zonas e bairros predominantemente residenciais que sofreram um processo de transformação, verticalização e atração de usos não residenciais, sobretudo serviços e comércio.</w:t>
      </w:r>
    </w:p>
    <w:p w:rsidR="00D66811" w:rsidRPr="00B13CF2" w:rsidRDefault="00D66811" w:rsidP="00D66811">
      <w:pPr>
        <w:pStyle w:val="Pargrafobsico"/>
        <w:jc w:val="both"/>
        <w:rPr>
          <w:rFonts w:ascii="Arial" w:hAnsi="Arial" w:cs="Arial"/>
          <w:color w:val="auto"/>
          <w:sz w:val="18"/>
          <w:szCs w:val="18"/>
        </w:rPr>
      </w:pPr>
      <w:r w:rsidRPr="00B13CF2">
        <w:rPr>
          <w:rStyle w:val="Corpo"/>
          <w:color w:val="auto"/>
          <w:sz w:val="18"/>
          <w:szCs w:val="18"/>
        </w:rPr>
        <w:t>Diretrizes: É necessário o controle do processo de adensamento, com padrões de densidade compatíveis com a oferta de transporte público e a capacidade do sistema viário e a manutenção e qualificação de áreas verdes significativas, visando à preservação da qualidade paisagística e ambiental dos bairros. Podem ser agregadas nesta Macrozona áreas de fortalecimento do caráter de centralidade municipal, respeitando o patrimônio histórico, cultural e religioso, otimizando a oferta de infraestrutura existente, renovando os padrões de uso e ocupação e fortalecendo a base econômica local.</w:t>
      </w:r>
      <w:r w:rsidRPr="00B13CF2">
        <w:rPr>
          <w:rFonts w:ascii="Arial" w:hAnsi="Arial" w:cs="Arial"/>
          <w:color w:val="auto"/>
          <w:sz w:val="18"/>
          <w:szCs w:val="18"/>
        </w:rPr>
        <w:t xml:space="preserve"> Garantir a utilização adequada dos imóveis não edificados e subutilizados</w:t>
      </w:r>
    </w:p>
    <w:p w:rsidR="00D66811" w:rsidRPr="00B13CF2" w:rsidRDefault="00D66811" w:rsidP="00D66811">
      <w:pPr>
        <w:pStyle w:val="Pargrafobsico"/>
        <w:jc w:val="both"/>
        <w:rPr>
          <w:rFonts w:ascii="Arial" w:hAnsi="Arial" w:cs="Arial"/>
          <w:color w:val="auto"/>
          <w:sz w:val="18"/>
          <w:szCs w:val="18"/>
        </w:rPr>
      </w:pPr>
      <w:r w:rsidRPr="00B13CF2">
        <w:rPr>
          <w:rFonts w:ascii="Arial" w:hAnsi="Arial" w:cs="Arial"/>
          <w:color w:val="auto"/>
          <w:sz w:val="18"/>
          <w:szCs w:val="18"/>
        </w:rPr>
        <w:t>Observação: Foram consideradas macrozonas urbanas consolidadas as áreas urbanas dos municípios que não possuem zoneamento, no entanto os conceitos, características e diretrizes não se aplicam a estas zonas. O macrozoneamento da RMS poderá orientar o município no detalhamento e definição de suas zonas urbanas, no momento de elaboração do seu plano diretor.</w:t>
      </w:r>
    </w:p>
    <w:p w:rsidR="00D66811" w:rsidRPr="00B13CF2" w:rsidRDefault="00D66811" w:rsidP="00D66811">
      <w:pPr>
        <w:pStyle w:val="Pargrafobsico"/>
        <w:jc w:val="both"/>
        <w:rPr>
          <w:rStyle w:val="Corpo"/>
          <w:color w:val="C00000"/>
          <w:sz w:val="18"/>
          <w:szCs w:val="18"/>
        </w:rPr>
      </w:pPr>
    </w:p>
    <w:p w:rsidR="00D66811" w:rsidRPr="00B13CF2" w:rsidRDefault="00D66811" w:rsidP="00D66811">
      <w:pPr>
        <w:pStyle w:val="Pargrafobsico"/>
        <w:jc w:val="both"/>
        <w:rPr>
          <w:rStyle w:val="Corpo"/>
          <w:color w:val="auto"/>
          <w:sz w:val="18"/>
          <w:szCs w:val="18"/>
          <w:u w:val="single"/>
        </w:rPr>
      </w:pPr>
      <w:r w:rsidRPr="00B13CF2">
        <w:rPr>
          <w:rStyle w:val="Corpo2"/>
          <w:color w:val="auto"/>
          <w:sz w:val="18"/>
          <w:szCs w:val="18"/>
          <w:u w:val="single"/>
        </w:rPr>
        <w:t>Macrozona Urbana – Adensamento</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Conceito: Área urbana dotada de infraestrutura com características físicas que favorecem o adensamento tendo como intenção predominante a indução ao adensamento construtivo</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Características: É caracterizada pela existência de usos residenciais e não residenciais instalados em edificações horizontais e verticais, com um nível médio de urbanização e de oferta de serviços e equipamentos.</w:t>
      </w:r>
    </w:p>
    <w:p w:rsidR="00D66811" w:rsidRPr="00B13CF2" w:rsidRDefault="00D66811" w:rsidP="00D66811">
      <w:pPr>
        <w:pStyle w:val="Pargrafobsico"/>
        <w:jc w:val="both"/>
        <w:rPr>
          <w:rFonts w:ascii="Arial" w:hAnsi="Arial" w:cs="Arial"/>
          <w:color w:val="auto"/>
          <w:sz w:val="18"/>
          <w:szCs w:val="18"/>
        </w:rPr>
      </w:pPr>
      <w:r w:rsidRPr="00B13CF2">
        <w:rPr>
          <w:rStyle w:val="Corpo"/>
          <w:color w:val="auto"/>
          <w:sz w:val="18"/>
          <w:szCs w:val="18"/>
        </w:rPr>
        <w:t>Diretrizes: É necessária a melhoria e complementação do sistema de mobilidade urbana, melhoria das condições urbanísticas dos bairros, garantir a manutenção da qualidade ambiental, preservando áreas verdes significativas e incentivo à consolidação das centralidades de bairros existentes.</w:t>
      </w:r>
      <w:r w:rsidRPr="00B13CF2">
        <w:rPr>
          <w:rFonts w:ascii="Arial" w:hAnsi="Arial" w:cs="Arial"/>
          <w:color w:val="auto"/>
          <w:sz w:val="18"/>
          <w:szCs w:val="18"/>
        </w:rPr>
        <w:t xml:space="preserve"> . Garantir a utilização adequada dos imóveis não edificados e subutilizados. Estimular o uso residencial e misto de média e alta densidade</w:t>
      </w:r>
    </w:p>
    <w:p w:rsidR="00D66811" w:rsidRPr="00B13CF2" w:rsidRDefault="00D66811" w:rsidP="00D66811">
      <w:pPr>
        <w:pStyle w:val="Pargrafobsico"/>
        <w:jc w:val="both"/>
        <w:rPr>
          <w:rStyle w:val="Corpo"/>
          <w:color w:val="auto"/>
          <w:sz w:val="18"/>
          <w:szCs w:val="18"/>
        </w:rPr>
      </w:pPr>
    </w:p>
    <w:p w:rsidR="00D66811" w:rsidRPr="00B13CF2" w:rsidRDefault="00D66811" w:rsidP="00D66811">
      <w:pPr>
        <w:pStyle w:val="Pargrafobsico"/>
        <w:jc w:val="both"/>
        <w:rPr>
          <w:rStyle w:val="Corpo"/>
          <w:color w:val="C00000"/>
          <w:sz w:val="18"/>
          <w:szCs w:val="18"/>
        </w:rPr>
      </w:pPr>
    </w:p>
    <w:p w:rsidR="00D66811" w:rsidRPr="00B13CF2" w:rsidRDefault="00D66811" w:rsidP="00D66811">
      <w:pPr>
        <w:pStyle w:val="Pargrafobsico"/>
        <w:jc w:val="both"/>
        <w:rPr>
          <w:rStyle w:val="Corpo"/>
          <w:color w:val="auto"/>
          <w:sz w:val="18"/>
          <w:szCs w:val="18"/>
          <w:u w:val="single"/>
        </w:rPr>
      </w:pPr>
      <w:r w:rsidRPr="00B13CF2">
        <w:rPr>
          <w:rStyle w:val="Corpo2"/>
          <w:color w:val="auto"/>
          <w:sz w:val="18"/>
          <w:szCs w:val="18"/>
          <w:u w:val="single"/>
        </w:rPr>
        <w:t>Macrozona Urbana – Expansão</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Conceito:. Áreas com urbanização incipiente, localizadas em vetores de expansão do município se configurando como espaço destinado ao aumento da urbanização e extensão de infraestrutura básica.</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Características: Possuem condições de serem urbanizadas por se localizarem em locais sem restrições físicas, geralmente com proximidade de infraestruturas já existentes.</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Diretrizes: Destina-se à expansão da urbanização de forma planejada e controlada com garantia de implantação de infraestrutura e incentivo na criação de novas áreas verdes, como praças e parques.</w:t>
      </w:r>
    </w:p>
    <w:p w:rsidR="00D66811" w:rsidRPr="00B13CF2" w:rsidRDefault="00D66811" w:rsidP="00D66811">
      <w:pPr>
        <w:pStyle w:val="Pargrafobsico"/>
        <w:jc w:val="both"/>
        <w:rPr>
          <w:rStyle w:val="Corpo"/>
          <w:color w:val="auto"/>
          <w:sz w:val="18"/>
          <w:szCs w:val="18"/>
        </w:rPr>
      </w:pPr>
    </w:p>
    <w:p w:rsidR="00D66811" w:rsidRPr="00B13CF2" w:rsidRDefault="00D66811" w:rsidP="00D66811">
      <w:pPr>
        <w:pStyle w:val="Pargrafobsico"/>
        <w:jc w:val="both"/>
        <w:rPr>
          <w:rStyle w:val="Corpo"/>
          <w:color w:val="auto"/>
          <w:sz w:val="18"/>
          <w:szCs w:val="18"/>
          <w:u w:val="single"/>
        </w:rPr>
      </w:pPr>
      <w:r w:rsidRPr="00B13CF2">
        <w:rPr>
          <w:rStyle w:val="Corpo2"/>
          <w:color w:val="auto"/>
          <w:sz w:val="18"/>
          <w:szCs w:val="18"/>
          <w:u w:val="single"/>
        </w:rPr>
        <w:lastRenderedPageBreak/>
        <w:t>Macrozona Urbana – Requalificação</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Conceito: Área urbana estruturada de forma inadequada ou irregular, carente de infraestrutura, com necessidades de requalificação urbanística ou ambiental.</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Características: Caracteriza-se pela existência de elevados índices de vulnerabilidade social, baixos índices de desenvolvimento humano e é ocupada por população predominantemente de baixa renda em assentamentos precários e irregulares. Apresenta precariedades territoriais, irregularidades fundiárias, e déficits na oferta de serviços, equipamentos e infraestruturas urbanas. Constitui-se principalmente de zonas ou áreas especiais de interesse social</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Diretrizes: É necessário fortalecer as capacidades de proteção social a partir de melhorias nas condições de vida, de convivência e de acesso às políticas públicas. Promover a regularização fundiária em assentamentos irregulares, garantir a qualificação ou requalificação urbana, social e ambiental.</w:t>
      </w:r>
    </w:p>
    <w:p w:rsidR="00D66811" w:rsidRDefault="00D66811" w:rsidP="00D66811">
      <w:pPr>
        <w:pStyle w:val="Pargrafobsico"/>
        <w:jc w:val="both"/>
        <w:rPr>
          <w:rStyle w:val="Corpo"/>
          <w:color w:val="auto"/>
          <w:sz w:val="18"/>
          <w:szCs w:val="18"/>
        </w:rPr>
      </w:pPr>
    </w:p>
    <w:p w:rsidR="00D66811" w:rsidRDefault="00D66811" w:rsidP="00D66811">
      <w:pPr>
        <w:pStyle w:val="Pargrafobsico"/>
        <w:jc w:val="both"/>
        <w:rPr>
          <w:rStyle w:val="Corpo"/>
          <w:color w:val="auto"/>
          <w:sz w:val="18"/>
          <w:szCs w:val="18"/>
        </w:rPr>
      </w:pPr>
    </w:p>
    <w:p w:rsidR="00D66811" w:rsidRDefault="00D66811" w:rsidP="00D66811">
      <w:pPr>
        <w:pStyle w:val="Pargrafobsico"/>
        <w:jc w:val="both"/>
        <w:rPr>
          <w:rStyle w:val="Corpo"/>
          <w:color w:val="auto"/>
          <w:sz w:val="18"/>
          <w:szCs w:val="18"/>
        </w:rPr>
      </w:pPr>
    </w:p>
    <w:p w:rsidR="00D66811" w:rsidRDefault="00D66811" w:rsidP="00D66811">
      <w:pPr>
        <w:pStyle w:val="Pargrafobsico"/>
        <w:jc w:val="both"/>
        <w:rPr>
          <w:rStyle w:val="Corpo"/>
          <w:color w:val="auto"/>
          <w:sz w:val="18"/>
          <w:szCs w:val="18"/>
        </w:rPr>
      </w:pPr>
    </w:p>
    <w:p w:rsidR="00D66811" w:rsidRDefault="00D66811" w:rsidP="00D66811">
      <w:pPr>
        <w:pStyle w:val="Pargrafobsico"/>
        <w:jc w:val="both"/>
        <w:rPr>
          <w:rStyle w:val="Corpo"/>
          <w:color w:val="auto"/>
          <w:sz w:val="18"/>
          <w:szCs w:val="18"/>
        </w:rPr>
      </w:pPr>
    </w:p>
    <w:p w:rsidR="00D66811" w:rsidRPr="00B13CF2" w:rsidRDefault="00D66811" w:rsidP="00D66811">
      <w:pPr>
        <w:pStyle w:val="Pargrafobsico"/>
        <w:jc w:val="both"/>
        <w:rPr>
          <w:rStyle w:val="Corpo"/>
          <w:color w:val="auto"/>
          <w:sz w:val="18"/>
          <w:szCs w:val="18"/>
        </w:rPr>
      </w:pPr>
    </w:p>
    <w:p w:rsidR="00D66811" w:rsidRPr="00B13CF2" w:rsidRDefault="00D66811" w:rsidP="00D66811">
      <w:pPr>
        <w:pStyle w:val="Pargrafobsico"/>
        <w:jc w:val="both"/>
        <w:rPr>
          <w:rStyle w:val="Corpo"/>
          <w:color w:val="auto"/>
          <w:sz w:val="18"/>
          <w:szCs w:val="18"/>
          <w:u w:val="single"/>
        </w:rPr>
      </w:pPr>
      <w:r w:rsidRPr="00B13CF2">
        <w:rPr>
          <w:rStyle w:val="Corpo2"/>
          <w:color w:val="auto"/>
          <w:sz w:val="18"/>
          <w:szCs w:val="18"/>
          <w:u w:val="single"/>
        </w:rPr>
        <w:t>Macrozona Urbana – Desenvolvimento</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Conceito: Área destinada preferencialmente a atividades produtivas – industriais ou de serviços.</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Características: Caracteriza-se pela existência de vias estruturais, sistema ferroviário e rodovias que articulam diferentes municípios e polos de empregos da Região Metropolitana de Sorocaba, onde se verificam processos de transformação econômica e de padrões de uso e ocupação do solo. Constitui-se por áreas com concentração industrial já estabelecida ou a serem destinadas para expansão das atividades econômicas, corredores de comércio, serviços e indústrias.</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Diretrizes: Promover transformações estruturais orientadas para o maior aproveitamento da terra urbana com o objetivo de ampliar a geração de empregos e renda, intensificando e implantando atividades econômicas. Garantir a segurança e a redução de conflitos de vizinhança com áreas não industriais, permitir o monitoramento e o controle ambiental</w:t>
      </w:r>
    </w:p>
    <w:p w:rsidR="00D66811" w:rsidRPr="00B13CF2" w:rsidRDefault="00D66811" w:rsidP="00D66811">
      <w:pPr>
        <w:pStyle w:val="Pargrafobsico"/>
        <w:jc w:val="both"/>
        <w:rPr>
          <w:rStyle w:val="Corpo"/>
          <w:color w:val="auto"/>
          <w:sz w:val="18"/>
          <w:szCs w:val="18"/>
        </w:rPr>
      </w:pPr>
    </w:p>
    <w:p w:rsidR="00D66811" w:rsidRPr="00B13CF2" w:rsidRDefault="00D66811" w:rsidP="00D66811">
      <w:pPr>
        <w:pStyle w:val="Pargrafobsico"/>
        <w:jc w:val="both"/>
        <w:rPr>
          <w:rStyle w:val="Corpo"/>
          <w:color w:val="auto"/>
          <w:sz w:val="18"/>
          <w:szCs w:val="18"/>
          <w:u w:val="single"/>
        </w:rPr>
      </w:pPr>
      <w:r w:rsidRPr="00B13CF2">
        <w:rPr>
          <w:rStyle w:val="Corpo2"/>
          <w:color w:val="auto"/>
          <w:sz w:val="18"/>
          <w:szCs w:val="18"/>
          <w:u w:val="single"/>
        </w:rPr>
        <w:t>Macrozona de Proteção Ambiental</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Conceito: Corresponde às áreas de expressivo valor ambiental, com notáveis atributos naturais ainda preservados, apresentando distinta flora e fauna.</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Características: São porções territoriais geralmente afastadas das áreas mais densamente urbanizadas, nas quais se observa o prolongamento de remanescentes florestais, a presença de nascentes e cursos d’água e demais elementos que configuram importância ao ecossistema e aos processos naturais locais. Ex.: Unidades de Conservação (</w:t>
      </w:r>
      <w:proofErr w:type="spellStart"/>
      <w:r w:rsidRPr="00B13CF2">
        <w:rPr>
          <w:rStyle w:val="Corpo"/>
          <w:color w:val="auto"/>
          <w:sz w:val="18"/>
          <w:szCs w:val="18"/>
        </w:rPr>
        <w:t>UCs</w:t>
      </w:r>
      <w:proofErr w:type="spellEnd"/>
      <w:r w:rsidRPr="00B13CF2">
        <w:rPr>
          <w:rStyle w:val="Corpo"/>
          <w:color w:val="auto"/>
          <w:sz w:val="18"/>
          <w:szCs w:val="18"/>
        </w:rPr>
        <w:t xml:space="preserve">) e demais áreas de proteção integral, </w:t>
      </w:r>
      <w:r w:rsidRPr="00B13CF2">
        <w:rPr>
          <w:rFonts w:ascii="Arial" w:hAnsi="Arial" w:cs="Arial"/>
          <w:color w:val="auto"/>
          <w:sz w:val="18"/>
          <w:szCs w:val="18"/>
        </w:rPr>
        <w:t>áreas especiais de interesse ambiental, parques municipais, áreas de preservação permanente (APP)</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Diretrizes: Destina-se à preservação ambiental, abrangendo também atividades de ecoturismo, educação ambiental e pesquisa.</w:t>
      </w:r>
    </w:p>
    <w:p w:rsidR="00D66811" w:rsidRPr="00B13CF2" w:rsidRDefault="00D66811" w:rsidP="00D66811">
      <w:pPr>
        <w:pStyle w:val="Pargrafobsico"/>
        <w:jc w:val="both"/>
        <w:rPr>
          <w:rStyle w:val="Corpo"/>
          <w:color w:val="auto"/>
          <w:sz w:val="18"/>
          <w:szCs w:val="18"/>
        </w:rPr>
      </w:pPr>
    </w:p>
    <w:p w:rsidR="00D66811" w:rsidRPr="00B13CF2" w:rsidRDefault="00D66811" w:rsidP="00D66811">
      <w:pPr>
        <w:pStyle w:val="Pargrafobsico"/>
        <w:jc w:val="both"/>
        <w:rPr>
          <w:rStyle w:val="Corpo"/>
          <w:color w:val="auto"/>
          <w:sz w:val="18"/>
          <w:szCs w:val="18"/>
          <w:u w:val="single"/>
        </w:rPr>
      </w:pPr>
      <w:r w:rsidRPr="00B13CF2">
        <w:rPr>
          <w:rStyle w:val="Corpo2"/>
          <w:color w:val="auto"/>
          <w:sz w:val="18"/>
          <w:szCs w:val="18"/>
          <w:u w:val="single"/>
        </w:rPr>
        <w:t>Macrozona de Uso Sustentável</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Conceito: Áreas que apresentam importantes remanescentes naturais, entremeados por propriedades de uso agrícola ou de recreação (sítios ou chácaras).</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 xml:space="preserve">Características: Exercem importância estratégica no território na medida em que podem auxiliar na contenção do processo de expansão urbana, no desenvolvimento e incremento controlados de atividades econômicas, ou ainda, na preservação dos recursos naturais existentes, necessários tanto à </w:t>
      </w:r>
      <w:r w:rsidRPr="00B13CF2">
        <w:rPr>
          <w:rStyle w:val="Corpo"/>
          <w:color w:val="auto"/>
          <w:sz w:val="18"/>
          <w:szCs w:val="18"/>
        </w:rPr>
        <w:lastRenderedPageBreak/>
        <w:t>conservação dos sistemas naturais quanto à estruturação da infraestrutura de abastecimento do território. Compõem a Macrozona de Uso Sustentável, por exemplo, áreas especiais de interesse ambiental, áreas de proteção ambiental (</w:t>
      </w:r>
      <w:proofErr w:type="spellStart"/>
      <w:r w:rsidRPr="00B13CF2">
        <w:rPr>
          <w:rStyle w:val="Corpo"/>
          <w:color w:val="auto"/>
          <w:sz w:val="18"/>
          <w:szCs w:val="18"/>
        </w:rPr>
        <w:t>APAs</w:t>
      </w:r>
      <w:proofErr w:type="spellEnd"/>
      <w:r w:rsidRPr="00B13CF2">
        <w:rPr>
          <w:rStyle w:val="Corpo"/>
          <w:color w:val="auto"/>
          <w:sz w:val="18"/>
          <w:szCs w:val="18"/>
        </w:rPr>
        <w:t>) e áreas de mananciais.</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Diretrizes: Destina-se à conservação de recursos naturais, abrangendo também atividades econômicas de baixo impacto ambiental como chácaras de recreio, atividades agrícolas e sítios.</w:t>
      </w:r>
    </w:p>
    <w:p w:rsidR="00D66811" w:rsidRPr="00B13CF2" w:rsidRDefault="00D66811" w:rsidP="00D66811">
      <w:pPr>
        <w:pStyle w:val="Pargrafobsico"/>
        <w:jc w:val="both"/>
        <w:rPr>
          <w:rStyle w:val="Corpo"/>
          <w:color w:val="auto"/>
          <w:sz w:val="18"/>
          <w:szCs w:val="18"/>
        </w:rPr>
      </w:pPr>
    </w:p>
    <w:p w:rsidR="00D66811" w:rsidRPr="00B13CF2" w:rsidRDefault="00D66811" w:rsidP="00D66811">
      <w:pPr>
        <w:pStyle w:val="Pargrafobsico"/>
        <w:jc w:val="both"/>
        <w:rPr>
          <w:rStyle w:val="Corpo"/>
          <w:color w:val="auto"/>
          <w:sz w:val="18"/>
          <w:szCs w:val="18"/>
          <w:u w:val="single"/>
        </w:rPr>
      </w:pPr>
      <w:r w:rsidRPr="00B13CF2">
        <w:rPr>
          <w:rStyle w:val="Corpo2"/>
          <w:color w:val="auto"/>
          <w:sz w:val="18"/>
          <w:szCs w:val="18"/>
          <w:u w:val="single"/>
        </w:rPr>
        <w:t>Macrozona de Atividades Rurais</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 xml:space="preserve">Conceito: Áreas rurais e </w:t>
      </w:r>
      <w:proofErr w:type="spellStart"/>
      <w:r w:rsidRPr="00B13CF2">
        <w:rPr>
          <w:rStyle w:val="Corpo"/>
          <w:color w:val="auto"/>
          <w:sz w:val="18"/>
          <w:szCs w:val="18"/>
        </w:rPr>
        <w:t>rururbanas</w:t>
      </w:r>
      <w:proofErr w:type="spellEnd"/>
      <w:r w:rsidRPr="00B13CF2">
        <w:rPr>
          <w:rStyle w:val="Corpo"/>
          <w:color w:val="auto"/>
          <w:sz w:val="18"/>
          <w:szCs w:val="18"/>
        </w:rPr>
        <w:t xml:space="preserve"> com diferentes índices e graus de urbanização e de restrições ambientais, com presença de atividades econômicas não urbanas.</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Características: Pode se apresentar com características diversas, em áreas concentradas ou esparsas de produção agrícola, pecuária ou extrativista, agricultura familiar, com ocupação urbana de baixa a média densidade.</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Diretrizes: Promover o potencial econômico e paisagístico a partir dos atributos da região, implementar políticas integradas de gestão sustentável dos recursos hídricos, promovendo a preservação das bacias hidrográficas; compatibilizar o uso turístico, a preservação ambiental e as atividades econômicas</w:t>
      </w:r>
    </w:p>
    <w:p w:rsidR="00D66811" w:rsidRPr="00B13CF2" w:rsidRDefault="00D66811" w:rsidP="00D66811">
      <w:pPr>
        <w:pStyle w:val="Pargrafobsico"/>
        <w:jc w:val="both"/>
        <w:rPr>
          <w:rStyle w:val="Corpo"/>
          <w:color w:val="auto"/>
          <w:sz w:val="18"/>
          <w:szCs w:val="18"/>
        </w:rPr>
      </w:pPr>
    </w:p>
    <w:p w:rsidR="00D66811" w:rsidRPr="00B13CF2" w:rsidRDefault="00D66811" w:rsidP="00D66811">
      <w:pPr>
        <w:pStyle w:val="Pargrafobsico"/>
        <w:jc w:val="both"/>
        <w:rPr>
          <w:rStyle w:val="Corpo"/>
          <w:color w:val="auto"/>
          <w:sz w:val="18"/>
          <w:szCs w:val="18"/>
          <w:u w:val="single"/>
        </w:rPr>
      </w:pPr>
      <w:r w:rsidRPr="00B13CF2">
        <w:rPr>
          <w:rStyle w:val="Corpo2"/>
          <w:color w:val="auto"/>
          <w:sz w:val="18"/>
          <w:szCs w:val="18"/>
          <w:u w:val="single"/>
        </w:rPr>
        <w:t>Macrozona de Recuperação Ambiental</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 xml:space="preserve">Conceito: Associada aos territórios ambientalmente frágeis impactados por ações </w:t>
      </w:r>
      <w:proofErr w:type="spellStart"/>
      <w:r w:rsidRPr="00B13CF2">
        <w:rPr>
          <w:rStyle w:val="Corpo"/>
          <w:color w:val="auto"/>
          <w:sz w:val="18"/>
          <w:szCs w:val="18"/>
        </w:rPr>
        <w:t>antrópicas</w:t>
      </w:r>
      <w:proofErr w:type="spellEnd"/>
      <w:r w:rsidRPr="00B13CF2">
        <w:rPr>
          <w:rStyle w:val="Corpo"/>
          <w:color w:val="auto"/>
          <w:sz w:val="18"/>
          <w:szCs w:val="18"/>
        </w:rPr>
        <w:t>, dotados ainda de importantes recursos naturais.</w:t>
      </w:r>
    </w:p>
    <w:p w:rsidR="00D66811" w:rsidRPr="00B13CF2" w:rsidRDefault="00D66811" w:rsidP="00D66811">
      <w:pPr>
        <w:pStyle w:val="Pargrafobsico"/>
        <w:jc w:val="both"/>
        <w:rPr>
          <w:rStyle w:val="Corpo"/>
          <w:color w:val="auto"/>
          <w:sz w:val="18"/>
          <w:szCs w:val="18"/>
        </w:rPr>
      </w:pPr>
      <w:r w:rsidRPr="00B13CF2">
        <w:rPr>
          <w:rStyle w:val="Corpo"/>
          <w:color w:val="auto"/>
          <w:sz w:val="18"/>
          <w:szCs w:val="18"/>
        </w:rPr>
        <w:t xml:space="preserve">Características: Correspondem às porções territoriais degradadas do ponto de vista ambiental, podendo ser caracterizadas pela presença de precariedade habitacional em áreas de proteção ambiental, exploração mineral e infraestruturas específicas como aterros sanitários. </w:t>
      </w:r>
    </w:p>
    <w:p w:rsidR="00D66811" w:rsidRPr="00B13CF2" w:rsidRDefault="00D66811" w:rsidP="00D66811">
      <w:pPr>
        <w:rPr>
          <w:sz w:val="18"/>
          <w:szCs w:val="18"/>
        </w:rPr>
      </w:pPr>
      <w:r w:rsidRPr="00B13CF2">
        <w:rPr>
          <w:rStyle w:val="Corpo"/>
          <w:sz w:val="18"/>
          <w:szCs w:val="18"/>
        </w:rPr>
        <w:t>Diretrizes: Promover o controle ambiental e recuperar as áreas ambientalmente degradadas; restringir e ordenar o uso, a ocupação e o adensamento urbano.</w:t>
      </w:r>
    </w:p>
    <w:p w:rsidR="00D66811" w:rsidRDefault="00D66811">
      <w:pPr>
        <w:spacing w:after="0" w:line="240" w:lineRule="auto"/>
        <w:rPr>
          <w:rFonts w:ascii="Arial" w:hAnsi="Arial" w:cs="Arial"/>
          <w:sz w:val="20"/>
          <w:szCs w:val="20"/>
        </w:rPr>
        <w:sectPr w:rsidR="00D66811" w:rsidSect="00CA5E97">
          <w:pgSz w:w="16840" w:h="11907" w:orient="landscape" w:code="9"/>
          <w:pgMar w:top="1418" w:right="2268" w:bottom="709" w:left="1701" w:header="567" w:footer="964" w:gutter="0"/>
          <w:cols w:space="720"/>
        </w:sectPr>
      </w:pPr>
    </w:p>
    <w:p w:rsidR="006C6FD3" w:rsidRPr="006A59FA" w:rsidRDefault="006A59FA" w:rsidP="006A59FA">
      <w:pPr>
        <w:pStyle w:val="Pargrafobsico"/>
        <w:rPr>
          <w:rFonts w:ascii="Arial" w:hAnsi="Arial" w:cs="Arial"/>
          <w:b/>
          <w:sz w:val="20"/>
          <w:szCs w:val="20"/>
        </w:rPr>
      </w:pPr>
      <w:r>
        <w:rPr>
          <w:rFonts w:ascii="Arial" w:hAnsi="Arial" w:cs="Arial"/>
          <w:b/>
          <w:sz w:val="20"/>
          <w:szCs w:val="20"/>
        </w:rPr>
        <w:lastRenderedPageBreak/>
        <w:t>Quadro 1. Situação dos mapeamentos dos zoneamentos dos municípios da AUP</w:t>
      </w:r>
    </w:p>
    <w:tbl>
      <w:tblPr>
        <w:tblStyle w:val="Tabelacomgrade"/>
        <w:tblW w:w="0" w:type="auto"/>
        <w:tblLook w:val="04A0"/>
      </w:tblPr>
      <w:tblGrid>
        <w:gridCol w:w="2518"/>
        <w:gridCol w:w="2835"/>
        <w:gridCol w:w="2552"/>
        <w:gridCol w:w="1984"/>
      </w:tblGrid>
      <w:tr w:rsidR="006A59FA" w:rsidTr="009C51B0">
        <w:tc>
          <w:tcPr>
            <w:tcW w:w="2518" w:type="dxa"/>
          </w:tcPr>
          <w:p w:rsidR="006A59FA" w:rsidRPr="005F129D" w:rsidRDefault="006A59FA" w:rsidP="00230902">
            <w:pPr>
              <w:pStyle w:val="Pargrafobsico"/>
              <w:jc w:val="both"/>
              <w:rPr>
                <w:rFonts w:ascii="Arial" w:hAnsi="Arial" w:cs="Arial"/>
                <w:b/>
                <w:sz w:val="20"/>
                <w:szCs w:val="20"/>
              </w:rPr>
            </w:pPr>
            <w:r>
              <w:rPr>
                <w:rFonts w:ascii="Arial" w:hAnsi="Arial" w:cs="Arial"/>
                <w:b/>
                <w:sz w:val="20"/>
                <w:szCs w:val="20"/>
              </w:rPr>
              <w:t>Aguardando mapas</w:t>
            </w:r>
          </w:p>
        </w:tc>
        <w:tc>
          <w:tcPr>
            <w:tcW w:w="2835" w:type="dxa"/>
          </w:tcPr>
          <w:p w:rsidR="006A59FA" w:rsidRPr="005F129D" w:rsidRDefault="006A59FA" w:rsidP="00AC0E9E">
            <w:pPr>
              <w:pStyle w:val="Pargrafobsico"/>
              <w:jc w:val="both"/>
              <w:rPr>
                <w:rFonts w:ascii="Arial" w:hAnsi="Arial" w:cs="Arial"/>
                <w:b/>
                <w:sz w:val="20"/>
                <w:szCs w:val="20"/>
              </w:rPr>
            </w:pPr>
            <w:r w:rsidRPr="005F129D">
              <w:rPr>
                <w:rFonts w:ascii="Arial" w:hAnsi="Arial" w:cs="Arial"/>
                <w:b/>
                <w:sz w:val="20"/>
                <w:szCs w:val="20"/>
              </w:rPr>
              <w:t>Podem ser mapeados</w:t>
            </w:r>
          </w:p>
        </w:tc>
        <w:tc>
          <w:tcPr>
            <w:tcW w:w="2552" w:type="dxa"/>
          </w:tcPr>
          <w:p w:rsidR="006A59FA" w:rsidRPr="005F129D" w:rsidRDefault="006A59FA" w:rsidP="00AC0E9E">
            <w:pPr>
              <w:pStyle w:val="Pargrafobsico"/>
              <w:jc w:val="both"/>
              <w:rPr>
                <w:rFonts w:ascii="Arial" w:hAnsi="Arial" w:cs="Arial"/>
                <w:b/>
                <w:sz w:val="20"/>
                <w:szCs w:val="20"/>
              </w:rPr>
            </w:pPr>
            <w:r>
              <w:rPr>
                <w:rFonts w:ascii="Arial" w:hAnsi="Arial" w:cs="Arial"/>
                <w:b/>
                <w:sz w:val="20"/>
                <w:szCs w:val="20"/>
              </w:rPr>
              <w:t>Mapeados</w:t>
            </w:r>
          </w:p>
        </w:tc>
        <w:tc>
          <w:tcPr>
            <w:tcW w:w="1984" w:type="dxa"/>
          </w:tcPr>
          <w:p w:rsidR="006A59FA" w:rsidRDefault="006A59FA" w:rsidP="00AC0E9E">
            <w:pPr>
              <w:pStyle w:val="Pargrafobsico"/>
              <w:jc w:val="both"/>
              <w:rPr>
                <w:rFonts w:ascii="Arial" w:hAnsi="Arial" w:cs="Arial"/>
                <w:b/>
                <w:sz w:val="20"/>
                <w:szCs w:val="20"/>
              </w:rPr>
            </w:pPr>
            <w:r>
              <w:rPr>
                <w:rFonts w:ascii="Arial" w:hAnsi="Arial" w:cs="Arial"/>
                <w:b/>
                <w:sz w:val="20"/>
                <w:szCs w:val="20"/>
              </w:rPr>
              <w:t>Validados</w:t>
            </w:r>
          </w:p>
        </w:tc>
      </w:tr>
      <w:tr w:rsidR="006A59FA" w:rsidTr="009C51B0">
        <w:trPr>
          <w:trHeight w:val="3408"/>
        </w:trPr>
        <w:tc>
          <w:tcPr>
            <w:tcW w:w="2518" w:type="dxa"/>
          </w:tcPr>
          <w:p w:rsidR="006A59FA" w:rsidRDefault="006A59FA" w:rsidP="00AC0E9E">
            <w:pPr>
              <w:pStyle w:val="Pargrafobsico"/>
              <w:jc w:val="both"/>
              <w:rPr>
                <w:rFonts w:ascii="Arial" w:hAnsi="Arial" w:cs="Arial"/>
                <w:sz w:val="20"/>
                <w:szCs w:val="20"/>
              </w:rPr>
            </w:pPr>
            <w:r>
              <w:rPr>
                <w:rFonts w:ascii="Arial" w:hAnsi="Arial" w:cs="Arial"/>
                <w:sz w:val="20"/>
                <w:szCs w:val="20"/>
              </w:rPr>
              <w:t>Analândia</w:t>
            </w:r>
          </w:p>
          <w:p w:rsidR="006A59FA" w:rsidRDefault="006A59FA" w:rsidP="00AC0E9E">
            <w:pPr>
              <w:pStyle w:val="Pargrafobsico"/>
              <w:jc w:val="both"/>
              <w:rPr>
                <w:rFonts w:ascii="Arial" w:hAnsi="Arial" w:cs="Arial"/>
                <w:sz w:val="20"/>
                <w:szCs w:val="20"/>
              </w:rPr>
            </w:pPr>
            <w:r>
              <w:rPr>
                <w:rFonts w:ascii="Arial" w:hAnsi="Arial" w:cs="Arial"/>
                <w:sz w:val="20"/>
                <w:szCs w:val="20"/>
              </w:rPr>
              <w:t>Araras</w:t>
            </w:r>
          </w:p>
          <w:p w:rsidR="006A59FA" w:rsidRDefault="006A59FA" w:rsidP="00AC0E9E">
            <w:pPr>
              <w:pStyle w:val="Pargrafobsico"/>
              <w:jc w:val="both"/>
              <w:rPr>
                <w:rFonts w:ascii="Arial" w:hAnsi="Arial" w:cs="Arial"/>
                <w:sz w:val="20"/>
                <w:szCs w:val="20"/>
              </w:rPr>
            </w:pPr>
            <w:r>
              <w:rPr>
                <w:rFonts w:ascii="Arial" w:hAnsi="Arial" w:cs="Arial"/>
                <w:sz w:val="20"/>
                <w:szCs w:val="20"/>
              </w:rPr>
              <w:t>Leme</w:t>
            </w:r>
          </w:p>
          <w:p w:rsidR="006A59FA" w:rsidRDefault="006A59FA" w:rsidP="006A59FA">
            <w:pPr>
              <w:pStyle w:val="Pargrafobsico"/>
              <w:jc w:val="both"/>
              <w:rPr>
                <w:rFonts w:ascii="Arial" w:hAnsi="Arial" w:cs="Arial"/>
                <w:sz w:val="20"/>
                <w:szCs w:val="20"/>
              </w:rPr>
            </w:pPr>
          </w:p>
        </w:tc>
        <w:tc>
          <w:tcPr>
            <w:tcW w:w="2835" w:type="dxa"/>
          </w:tcPr>
          <w:p w:rsidR="003C2605" w:rsidRPr="003C2605" w:rsidRDefault="003C2605" w:rsidP="003C2605">
            <w:pPr>
              <w:pStyle w:val="Pargrafobsico"/>
              <w:rPr>
                <w:rFonts w:ascii="Arial" w:hAnsi="Arial" w:cs="Arial"/>
                <w:sz w:val="20"/>
                <w:szCs w:val="20"/>
              </w:rPr>
            </w:pPr>
            <w:r w:rsidRPr="003C2605">
              <w:rPr>
                <w:rFonts w:ascii="Arial" w:hAnsi="Arial" w:cs="Arial"/>
                <w:sz w:val="20"/>
                <w:szCs w:val="20"/>
              </w:rPr>
              <w:t>Elias Fausto</w:t>
            </w:r>
          </w:p>
          <w:p w:rsidR="006A59FA" w:rsidRDefault="001B3231" w:rsidP="003C2605">
            <w:pPr>
              <w:pStyle w:val="Pargrafobsico"/>
              <w:rPr>
                <w:rFonts w:ascii="Arial" w:hAnsi="Arial" w:cs="Arial"/>
                <w:sz w:val="20"/>
                <w:szCs w:val="20"/>
              </w:rPr>
            </w:pPr>
            <w:r w:rsidRPr="001B3231">
              <w:rPr>
                <w:rFonts w:ascii="Arial" w:hAnsi="Arial" w:cs="Arial"/>
                <w:sz w:val="20"/>
                <w:szCs w:val="20"/>
              </w:rPr>
              <w:t>Saltinho</w:t>
            </w:r>
          </w:p>
        </w:tc>
        <w:tc>
          <w:tcPr>
            <w:tcW w:w="2552" w:type="dxa"/>
          </w:tcPr>
          <w:p w:rsidR="006A59FA" w:rsidRPr="00230902" w:rsidRDefault="006A59FA" w:rsidP="00230902">
            <w:pPr>
              <w:pStyle w:val="Pargrafobsico"/>
              <w:rPr>
                <w:rFonts w:ascii="Arial" w:hAnsi="Arial" w:cs="Arial"/>
                <w:sz w:val="20"/>
                <w:szCs w:val="20"/>
              </w:rPr>
            </w:pPr>
            <w:r w:rsidRPr="00230902">
              <w:rPr>
                <w:rFonts w:ascii="Arial" w:hAnsi="Arial" w:cs="Arial"/>
                <w:sz w:val="20"/>
                <w:szCs w:val="20"/>
              </w:rPr>
              <w:t>Piracicaba</w:t>
            </w:r>
          </w:p>
          <w:p w:rsidR="006A59FA" w:rsidRPr="00C152D0" w:rsidRDefault="006A59FA" w:rsidP="00C152D0">
            <w:pPr>
              <w:pStyle w:val="Pargrafobsico"/>
              <w:rPr>
                <w:rFonts w:ascii="Arial" w:hAnsi="Arial" w:cs="Arial"/>
                <w:sz w:val="20"/>
                <w:szCs w:val="20"/>
              </w:rPr>
            </w:pPr>
            <w:r w:rsidRPr="00C152D0">
              <w:rPr>
                <w:rFonts w:ascii="Arial" w:hAnsi="Arial" w:cs="Arial"/>
                <w:sz w:val="20"/>
                <w:szCs w:val="20"/>
              </w:rPr>
              <w:t>Cordeirópolis</w:t>
            </w:r>
          </w:p>
          <w:p w:rsidR="006A59FA" w:rsidRPr="006A59FA" w:rsidRDefault="006A59FA" w:rsidP="006A59FA">
            <w:pPr>
              <w:pStyle w:val="Pargrafobsico"/>
              <w:rPr>
                <w:rFonts w:ascii="Arial" w:hAnsi="Arial" w:cs="Arial"/>
                <w:sz w:val="20"/>
                <w:szCs w:val="20"/>
              </w:rPr>
            </w:pPr>
            <w:r w:rsidRPr="006A59FA">
              <w:rPr>
                <w:rFonts w:ascii="Arial" w:hAnsi="Arial" w:cs="Arial"/>
                <w:sz w:val="20"/>
                <w:szCs w:val="20"/>
              </w:rPr>
              <w:t>Rio Claro</w:t>
            </w:r>
            <w:r>
              <w:rPr>
                <w:rFonts w:ascii="Arial" w:hAnsi="Arial" w:cs="Arial"/>
                <w:sz w:val="20"/>
                <w:szCs w:val="20"/>
              </w:rPr>
              <w:t xml:space="preserve"> </w:t>
            </w:r>
          </w:p>
          <w:p w:rsidR="009C51B0" w:rsidRPr="009C51B0" w:rsidRDefault="009C51B0" w:rsidP="009C51B0">
            <w:pPr>
              <w:pStyle w:val="Pargrafobsico"/>
              <w:rPr>
                <w:rFonts w:ascii="Arial" w:hAnsi="Arial" w:cs="Arial"/>
                <w:sz w:val="20"/>
                <w:szCs w:val="20"/>
              </w:rPr>
            </w:pPr>
            <w:r>
              <w:rPr>
                <w:rFonts w:ascii="Arial" w:hAnsi="Arial" w:cs="Arial"/>
                <w:sz w:val="20"/>
                <w:szCs w:val="20"/>
              </w:rPr>
              <w:t xml:space="preserve">Conchal </w:t>
            </w:r>
          </w:p>
          <w:p w:rsidR="009A57DC" w:rsidRPr="009A57DC" w:rsidRDefault="009A57DC" w:rsidP="009A57DC">
            <w:pPr>
              <w:pStyle w:val="Pargrafobsico"/>
              <w:rPr>
                <w:rFonts w:ascii="Arial" w:hAnsi="Arial" w:cs="Arial"/>
                <w:sz w:val="20"/>
                <w:szCs w:val="20"/>
              </w:rPr>
            </w:pPr>
            <w:r w:rsidRPr="009A57DC">
              <w:rPr>
                <w:rFonts w:ascii="Arial" w:hAnsi="Arial" w:cs="Arial"/>
                <w:sz w:val="20"/>
                <w:szCs w:val="20"/>
              </w:rPr>
              <w:t xml:space="preserve">Rio das Pedras </w:t>
            </w:r>
          </w:p>
          <w:p w:rsidR="009A57DC" w:rsidRPr="009A57DC" w:rsidRDefault="009A57DC" w:rsidP="009A57DC">
            <w:pPr>
              <w:pStyle w:val="Pargrafobsico"/>
              <w:rPr>
                <w:rFonts w:ascii="Arial" w:hAnsi="Arial" w:cs="Arial"/>
                <w:sz w:val="20"/>
                <w:szCs w:val="20"/>
              </w:rPr>
            </w:pPr>
            <w:r w:rsidRPr="009A57DC">
              <w:rPr>
                <w:rFonts w:ascii="Arial" w:hAnsi="Arial" w:cs="Arial"/>
                <w:sz w:val="20"/>
                <w:szCs w:val="20"/>
              </w:rPr>
              <w:t xml:space="preserve">Iracemápolis¹ </w:t>
            </w:r>
          </w:p>
          <w:p w:rsidR="005C5ED7" w:rsidRPr="005C5ED7" w:rsidRDefault="005C5ED7" w:rsidP="005C5ED7">
            <w:pPr>
              <w:pStyle w:val="Pargrafobsico"/>
              <w:rPr>
                <w:rFonts w:ascii="Arial" w:hAnsi="Arial" w:cs="Arial"/>
                <w:sz w:val="20"/>
                <w:szCs w:val="20"/>
              </w:rPr>
            </w:pPr>
            <w:r w:rsidRPr="005C5ED7">
              <w:rPr>
                <w:rFonts w:ascii="Arial" w:hAnsi="Arial" w:cs="Arial"/>
                <w:sz w:val="20"/>
                <w:szCs w:val="20"/>
              </w:rPr>
              <w:t xml:space="preserve">Santa Maria da Serra¹ </w:t>
            </w:r>
          </w:p>
          <w:p w:rsidR="005C5ED7" w:rsidRPr="005C5ED7" w:rsidRDefault="005C5ED7" w:rsidP="005C5ED7">
            <w:pPr>
              <w:pStyle w:val="Pargrafobsico"/>
              <w:rPr>
                <w:rFonts w:ascii="Arial" w:hAnsi="Arial" w:cs="Arial"/>
                <w:sz w:val="20"/>
                <w:szCs w:val="20"/>
              </w:rPr>
            </w:pPr>
            <w:r w:rsidRPr="005C5ED7">
              <w:rPr>
                <w:rFonts w:ascii="Arial" w:hAnsi="Arial" w:cs="Arial"/>
                <w:sz w:val="20"/>
                <w:szCs w:val="20"/>
              </w:rPr>
              <w:t>Limeira</w:t>
            </w:r>
          </w:p>
          <w:p w:rsidR="005C5ED7" w:rsidRPr="005C5ED7" w:rsidRDefault="005C5ED7" w:rsidP="005C5ED7">
            <w:pPr>
              <w:pStyle w:val="Pargrafobsico"/>
              <w:rPr>
                <w:rFonts w:ascii="Arial" w:hAnsi="Arial" w:cs="Arial"/>
                <w:sz w:val="20"/>
                <w:szCs w:val="20"/>
              </w:rPr>
            </w:pPr>
            <w:r w:rsidRPr="005C5ED7">
              <w:rPr>
                <w:rFonts w:ascii="Arial" w:hAnsi="Arial" w:cs="Arial"/>
                <w:sz w:val="20"/>
                <w:szCs w:val="20"/>
              </w:rPr>
              <w:t>Santa Gertrudes</w:t>
            </w:r>
          </w:p>
          <w:p w:rsidR="007D1052" w:rsidRPr="007D1052" w:rsidRDefault="007D1052" w:rsidP="007D1052">
            <w:pPr>
              <w:pStyle w:val="Pargrafobsico"/>
              <w:rPr>
                <w:rFonts w:ascii="Arial" w:hAnsi="Arial" w:cs="Arial"/>
                <w:sz w:val="20"/>
                <w:szCs w:val="20"/>
              </w:rPr>
            </w:pPr>
            <w:r w:rsidRPr="007D1052">
              <w:rPr>
                <w:rFonts w:ascii="Arial" w:hAnsi="Arial" w:cs="Arial"/>
                <w:sz w:val="20"/>
                <w:szCs w:val="20"/>
              </w:rPr>
              <w:t>Piracicaba</w:t>
            </w:r>
          </w:p>
          <w:p w:rsidR="007D1052" w:rsidRPr="007D1052" w:rsidRDefault="007D1052" w:rsidP="007D1052">
            <w:pPr>
              <w:pStyle w:val="Pargrafobsico"/>
              <w:rPr>
                <w:rFonts w:ascii="Arial" w:hAnsi="Arial" w:cs="Arial"/>
                <w:sz w:val="20"/>
                <w:szCs w:val="20"/>
              </w:rPr>
            </w:pPr>
            <w:r w:rsidRPr="007D1052">
              <w:rPr>
                <w:rFonts w:ascii="Arial" w:hAnsi="Arial" w:cs="Arial"/>
                <w:sz w:val="20"/>
                <w:szCs w:val="20"/>
              </w:rPr>
              <w:t>São Pedro</w:t>
            </w:r>
          </w:p>
          <w:p w:rsidR="005D3C0B" w:rsidRPr="005D3C0B" w:rsidRDefault="005D3C0B" w:rsidP="005D3C0B">
            <w:pPr>
              <w:pStyle w:val="Pargrafobsico"/>
              <w:rPr>
                <w:rFonts w:ascii="Arial" w:hAnsi="Arial" w:cs="Arial"/>
                <w:sz w:val="20"/>
                <w:szCs w:val="20"/>
              </w:rPr>
            </w:pPr>
            <w:proofErr w:type="spellStart"/>
            <w:r w:rsidRPr="005D3C0B">
              <w:rPr>
                <w:rFonts w:ascii="Arial" w:hAnsi="Arial" w:cs="Arial"/>
                <w:sz w:val="20"/>
                <w:szCs w:val="20"/>
              </w:rPr>
              <w:t>Rafard</w:t>
            </w:r>
            <w:proofErr w:type="spellEnd"/>
            <w:r w:rsidRPr="005D3C0B">
              <w:rPr>
                <w:rFonts w:ascii="Arial" w:hAnsi="Arial" w:cs="Arial"/>
                <w:sz w:val="20"/>
                <w:szCs w:val="20"/>
              </w:rPr>
              <w:t xml:space="preserve">*¹ </w:t>
            </w:r>
          </w:p>
          <w:p w:rsidR="006A59FA" w:rsidRDefault="005D3C0B" w:rsidP="00AC0E9E">
            <w:pPr>
              <w:pStyle w:val="Pargrafobsico"/>
              <w:rPr>
                <w:rFonts w:ascii="Arial" w:hAnsi="Arial" w:cs="Arial"/>
                <w:sz w:val="20"/>
                <w:szCs w:val="20"/>
              </w:rPr>
            </w:pPr>
            <w:r w:rsidRPr="005D3C0B">
              <w:rPr>
                <w:rFonts w:ascii="Arial" w:hAnsi="Arial" w:cs="Arial"/>
                <w:sz w:val="20"/>
                <w:szCs w:val="20"/>
              </w:rPr>
              <w:t>Águas de São Pedro*</w:t>
            </w:r>
          </w:p>
          <w:p w:rsidR="00AE0D96" w:rsidRPr="00AE0D96" w:rsidRDefault="00AE0D96" w:rsidP="00AE0D96">
            <w:pPr>
              <w:pStyle w:val="Pargrafobsico"/>
              <w:rPr>
                <w:rFonts w:ascii="Arial" w:hAnsi="Arial" w:cs="Arial"/>
                <w:sz w:val="20"/>
                <w:szCs w:val="20"/>
              </w:rPr>
            </w:pPr>
            <w:r w:rsidRPr="00AE0D96">
              <w:rPr>
                <w:rFonts w:ascii="Arial" w:hAnsi="Arial" w:cs="Arial"/>
                <w:sz w:val="20"/>
                <w:szCs w:val="20"/>
              </w:rPr>
              <w:t>Charqueada*¹</w:t>
            </w:r>
          </w:p>
          <w:p w:rsidR="00AE0D96" w:rsidRPr="00AE0D96" w:rsidRDefault="00AE0D96" w:rsidP="00AE0D96">
            <w:pPr>
              <w:pStyle w:val="Pargrafobsico"/>
              <w:rPr>
                <w:rFonts w:ascii="Arial" w:hAnsi="Arial" w:cs="Arial"/>
                <w:sz w:val="20"/>
                <w:szCs w:val="20"/>
              </w:rPr>
            </w:pPr>
            <w:proofErr w:type="spellStart"/>
            <w:r w:rsidRPr="00AE0D96">
              <w:rPr>
                <w:rFonts w:ascii="Arial" w:hAnsi="Arial" w:cs="Arial"/>
                <w:sz w:val="20"/>
                <w:szCs w:val="20"/>
              </w:rPr>
              <w:t>Ipeúna</w:t>
            </w:r>
            <w:proofErr w:type="spellEnd"/>
            <w:r w:rsidRPr="00AE0D96">
              <w:rPr>
                <w:rFonts w:ascii="Arial" w:hAnsi="Arial" w:cs="Arial"/>
                <w:sz w:val="20"/>
                <w:szCs w:val="20"/>
              </w:rPr>
              <w:t xml:space="preserve">*¹ </w:t>
            </w:r>
          </w:p>
          <w:p w:rsidR="00AE0D96" w:rsidRDefault="00AE0D96" w:rsidP="00AE0D96">
            <w:pPr>
              <w:pStyle w:val="Pargrafobsico"/>
              <w:rPr>
                <w:rFonts w:ascii="Arial" w:hAnsi="Arial" w:cs="Arial"/>
                <w:sz w:val="20"/>
                <w:szCs w:val="20"/>
              </w:rPr>
            </w:pPr>
            <w:r w:rsidRPr="00AE0D96">
              <w:rPr>
                <w:rFonts w:ascii="Arial" w:hAnsi="Arial" w:cs="Arial"/>
                <w:sz w:val="20"/>
                <w:szCs w:val="20"/>
              </w:rPr>
              <w:t>Capivari</w:t>
            </w:r>
          </w:p>
          <w:p w:rsidR="003C2605" w:rsidRPr="003C2605" w:rsidRDefault="003C2605" w:rsidP="003C2605">
            <w:pPr>
              <w:pStyle w:val="Pargrafobsico"/>
              <w:rPr>
                <w:rFonts w:ascii="Arial" w:hAnsi="Arial" w:cs="Arial"/>
                <w:sz w:val="20"/>
                <w:szCs w:val="20"/>
              </w:rPr>
            </w:pPr>
            <w:r w:rsidRPr="003C2605">
              <w:rPr>
                <w:rFonts w:ascii="Arial" w:hAnsi="Arial" w:cs="Arial"/>
                <w:sz w:val="20"/>
                <w:szCs w:val="20"/>
              </w:rPr>
              <w:t>Corumbataí*¹ PDF</w:t>
            </w:r>
          </w:p>
          <w:p w:rsidR="003C2605" w:rsidRPr="003C2605" w:rsidRDefault="003C2605" w:rsidP="003C2605">
            <w:pPr>
              <w:pStyle w:val="Pargrafobsico"/>
              <w:rPr>
                <w:rFonts w:ascii="Arial" w:hAnsi="Arial" w:cs="Arial"/>
                <w:sz w:val="20"/>
                <w:szCs w:val="20"/>
              </w:rPr>
            </w:pPr>
            <w:proofErr w:type="spellStart"/>
            <w:r w:rsidRPr="003C2605">
              <w:rPr>
                <w:rFonts w:ascii="Arial" w:hAnsi="Arial" w:cs="Arial"/>
                <w:sz w:val="20"/>
                <w:szCs w:val="20"/>
              </w:rPr>
              <w:t>Mombuca</w:t>
            </w:r>
            <w:proofErr w:type="spellEnd"/>
            <w:r w:rsidRPr="003C2605">
              <w:rPr>
                <w:rFonts w:ascii="Arial" w:hAnsi="Arial" w:cs="Arial"/>
                <w:sz w:val="20"/>
                <w:szCs w:val="20"/>
              </w:rPr>
              <w:t>*</w:t>
            </w:r>
          </w:p>
          <w:p w:rsidR="005D3C0B" w:rsidRPr="00C47B6B" w:rsidRDefault="005D3C0B" w:rsidP="00AC0E9E">
            <w:pPr>
              <w:pStyle w:val="Pargrafobsico"/>
              <w:rPr>
                <w:rFonts w:ascii="Arial" w:hAnsi="Arial" w:cs="Arial"/>
                <w:sz w:val="20"/>
                <w:szCs w:val="20"/>
              </w:rPr>
            </w:pPr>
          </w:p>
        </w:tc>
        <w:tc>
          <w:tcPr>
            <w:tcW w:w="1984" w:type="dxa"/>
          </w:tcPr>
          <w:p w:rsidR="007D1052" w:rsidRPr="007D1052" w:rsidRDefault="007D1052" w:rsidP="007D1052">
            <w:pPr>
              <w:pStyle w:val="Pargrafobsico"/>
              <w:rPr>
                <w:rFonts w:ascii="Arial" w:hAnsi="Arial" w:cs="Arial"/>
                <w:sz w:val="20"/>
                <w:szCs w:val="20"/>
              </w:rPr>
            </w:pPr>
            <w:r w:rsidRPr="007D1052">
              <w:rPr>
                <w:rFonts w:ascii="Arial" w:hAnsi="Arial" w:cs="Arial"/>
                <w:sz w:val="20"/>
                <w:szCs w:val="20"/>
              </w:rPr>
              <w:t>Laranjal Paulista</w:t>
            </w:r>
          </w:p>
          <w:p w:rsidR="006A59FA" w:rsidRPr="00230902" w:rsidRDefault="006A59FA" w:rsidP="007D1052">
            <w:pPr>
              <w:pStyle w:val="Pargrafobsico"/>
              <w:rPr>
                <w:rFonts w:ascii="Arial" w:hAnsi="Arial" w:cs="Arial"/>
                <w:sz w:val="20"/>
                <w:szCs w:val="20"/>
              </w:rPr>
            </w:pPr>
          </w:p>
        </w:tc>
      </w:tr>
    </w:tbl>
    <w:p w:rsidR="006A59FA" w:rsidRDefault="006A59FA" w:rsidP="006A59FA">
      <w:pPr>
        <w:pStyle w:val="Pargrafobsico"/>
        <w:jc w:val="both"/>
        <w:rPr>
          <w:rFonts w:ascii="Arial" w:hAnsi="Arial" w:cs="Arial"/>
          <w:color w:val="auto"/>
          <w:sz w:val="18"/>
          <w:szCs w:val="18"/>
        </w:rPr>
      </w:pPr>
      <w:r w:rsidRPr="00EA7825">
        <w:rPr>
          <w:rFonts w:ascii="Arial" w:hAnsi="Arial" w:cs="Arial"/>
          <w:color w:val="auto"/>
          <w:sz w:val="18"/>
          <w:szCs w:val="18"/>
        </w:rPr>
        <w:t>* municípios sem plano diretor - foram solicitados mapas de perímetro urbano ou uso e ocupação do solo</w:t>
      </w:r>
    </w:p>
    <w:p w:rsidR="009C51B0" w:rsidRPr="00EA7825" w:rsidRDefault="009C51B0" w:rsidP="006A59FA">
      <w:pPr>
        <w:pStyle w:val="Pargrafobsico"/>
        <w:jc w:val="both"/>
        <w:rPr>
          <w:rFonts w:ascii="Arial" w:hAnsi="Arial" w:cs="Arial"/>
          <w:color w:val="auto"/>
          <w:sz w:val="18"/>
          <w:szCs w:val="18"/>
        </w:rPr>
      </w:pPr>
      <w:r>
        <w:rPr>
          <w:rFonts w:ascii="Arial" w:hAnsi="Arial" w:cs="Arial"/>
          <w:color w:val="auto"/>
          <w:sz w:val="18"/>
          <w:szCs w:val="18"/>
        </w:rPr>
        <w:t xml:space="preserve">¹ municípios sem mapeamento de zoneamento - mapeado o perímetro urbano  </w:t>
      </w:r>
    </w:p>
    <w:p w:rsidR="006C6FD3" w:rsidRDefault="006C6FD3" w:rsidP="00226734">
      <w:pPr>
        <w:pStyle w:val="Pargrafobsico"/>
        <w:jc w:val="both"/>
        <w:rPr>
          <w:rFonts w:ascii="Arial" w:hAnsi="Arial" w:cs="Arial"/>
          <w:sz w:val="20"/>
          <w:szCs w:val="20"/>
        </w:rPr>
      </w:pPr>
    </w:p>
    <w:p w:rsidR="000D05E8" w:rsidRDefault="000D05E8" w:rsidP="00226734">
      <w:pPr>
        <w:pStyle w:val="Pargrafobsico"/>
        <w:jc w:val="both"/>
        <w:rPr>
          <w:rFonts w:ascii="Arial" w:hAnsi="Arial" w:cs="Arial"/>
          <w:sz w:val="20"/>
          <w:szCs w:val="20"/>
        </w:rPr>
      </w:pPr>
    </w:p>
    <w:p w:rsidR="000D05E8" w:rsidRDefault="000D05E8" w:rsidP="00226734">
      <w:pPr>
        <w:pStyle w:val="Pargrafobsico"/>
        <w:jc w:val="both"/>
        <w:rPr>
          <w:rFonts w:ascii="Arial" w:hAnsi="Arial" w:cs="Arial"/>
          <w:sz w:val="20"/>
          <w:szCs w:val="20"/>
        </w:rPr>
      </w:pPr>
    </w:p>
    <w:p w:rsidR="005D3C0B" w:rsidRDefault="005D3C0B" w:rsidP="00226734">
      <w:pPr>
        <w:pStyle w:val="Pargrafobsico"/>
        <w:jc w:val="both"/>
        <w:rPr>
          <w:rFonts w:ascii="Arial" w:hAnsi="Arial" w:cs="Arial"/>
          <w:sz w:val="20"/>
          <w:szCs w:val="20"/>
        </w:rPr>
      </w:pPr>
    </w:p>
    <w:p w:rsidR="00346F47" w:rsidRDefault="00346F47" w:rsidP="00226734">
      <w:pPr>
        <w:pStyle w:val="Pargrafobsico"/>
        <w:jc w:val="both"/>
        <w:rPr>
          <w:rFonts w:ascii="Arial" w:hAnsi="Arial" w:cs="Arial"/>
          <w:sz w:val="20"/>
          <w:szCs w:val="20"/>
        </w:rPr>
      </w:pPr>
      <w:r>
        <w:rPr>
          <w:rFonts w:ascii="Arial" w:hAnsi="Arial" w:cs="Arial"/>
          <w:noProof/>
          <w:sz w:val="20"/>
          <w:szCs w:val="20"/>
          <w:lang w:eastAsia="pt-BR"/>
        </w:rPr>
        <w:lastRenderedPageBreak/>
        <w:drawing>
          <wp:inline distT="0" distB="0" distL="0" distR="0">
            <wp:extent cx="6210300" cy="7019925"/>
            <wp:effectExtent l="19050" t="0" r="0" b="0"/>
            <wp:docPr id="1" name="Imagem 0" descr="AUP Planos dire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P Planos diretores.jpg"/>
                    <pic:cNvPicPr/>
                  </pic:nvPicPr>
                  <pic:blipFill>
                    <a:blip r:embed="rId12" cstate="print"/>
                    <a:srcRect t="10900" b="1777"/>
                    <a:stretch>
                      <a:fillRect/>
                    </a:stretch>
                  </pic:blipFill>
                  <pic:spPr>
                    <a:xfrm>
                      <a:off x="0" y="0"/>
                      <a:ext cx="6210300" cy="7019925"/>
                    </a:xfrm>
                    <a:prstGeom prst="rect">
                      <a:avLst/>
                    </a:prstGeom>
                  </pic:spPr>
                </pic:pic>
              </a:graphicData>
            </a:graphic>
          </wp:inline>
        </w:drawing>
      </w:r>
    </w:p>
    <w:p w:rsidR="00346F47" w:rsidRDefault="00346F47" w:rsidP="00226734">
      <w:pPr>
        <w:pStyle w:val="Pargrafobsico"/>
        <w:jc w:val="both"/>
        <w:rPr>
          <w:rFonts w:ascii="Arial" w:hAnsi="Arial" w:cs="Arial"/>
          <w:sz w:val="20"/>
          <w:szCs w:val="20"/>
        </w:rPr>
      </w:pPr>
    </w:p>
    <w:p w:rsidR="00346F47" w:rsidRPr="003C0DDA" w:rsidRDefault="00346F47" w:rsidP="00226734">
      <w:pPr>
        <w:pStyle w:val="Pargrafobsico"/>
        <w:jc w:val="both"/>
        <w:rPr>
          <w:rFonts w:ascii="Arial" w:hAnsi="Arial" w:cs="Arial"/>
          <w:sz w:val="20"/>
          <w:szCs w:val="20"/>
        </w:rPr>
      </w:pPr>
      <w:r>
        <w:rPr>
          <w:rFonts w:ascii="Arial" w:hAnsi="Arial" w:cs="Arial"/>
          <w:noProof/>
          <w:sz w:val="20"/>
          <w:szCs w:val="20"/>
          <w:lang w:eastAsia="pt-BR"/>
        </w:rPr>
        <w:lastRenderedPageBreak/>
        <w:drawing>
          <wp:inline distT="0" distB="0" distL="0" distR="0">
            <wp:extent cx="6210300" cy="7258050"/>
            <wp:effectExtent l="19050" t="0" r="0" b="0"/>
            <wp:docPr id="3" name="Imagem 2" descr="AUP Planos direto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P Planos diretores 2.jpg"/>
                    <pic:cNvPicPr/>
                  </pic:nvPicPr>
                  <pic:blipFill>
                    <a:blip r:embed="rId13" cstate="print"/>
                    <a:srcRect t="9716"/>
                    <a:stretch>
                      <a:fillRect/>
                    </a:stretch>
                  </pic:blipFill>
                  <pic:spPr>
                    <a:xfrm>
                      <a:off x="0" y="0"/>
                      <a:ext cx="6210300" cy="7258050"/>
                    </a:xfrm>
                    <a:prstGeom prst="rect">
                      <a:avLst/>
                    </a:prstGeom>
                  </pic:spPr>
                </pic:pic>
              </a:graphicData>
            </a:graphic>
          </wp:inline>
        </w:drawing>
      </w:r>
    </w:p>
    <w:sectPr w:rsidR="00346F47" w:rsidRPr="003C0DDA" w:rsidSect="00CA5E97">
      <w:pgSz w:w="11907" w:h="16840" w:code="9"/>
      <w:pgMar w:top="2268" w:right="709" w:bottom="1701" w:left="1418" w:header="567" w:footer="9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94D" w:rsidRDefault="0036194D">
      <w:r>
        <w:separator/>
      </w:r>
    </w:p>
  </w:endnote>
  <w:endnote w:type="continuationSeparator" w:id="0">
    <w:p w:rsidR="0036194D" w:rsidRDefault="003619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4D" w:rsidRPr="009E6DF9" w:rsidRDefault="0036194D">
    <w:pPr>
      <w:pStyle w:val="Rodap"/>
      <w:pBdr>
        <w:bottom w:val="single" w:sz="4" w:space="1" w:color="008000"/>
      </w:pBdr>
      <w:jc w:val="right"/>
      <w:rPr>
        <w:color w:val="46E6CD"/>
      </w:rPr>
    </w:pPr>
    <w:r w:rsidRPr="009E6DF9">
      <w:rPr>
        <w:color w:val="46E6CD"/>
      </w:rPr>
      <w:t>Empresa Paulista de Planejamento Metropolitano SA</w:t>
    </w:r>
  </w:p>
  <w:p w:rsidR="0036194D" w:rsidRDefault="0036194D" w:rsidP="004236B7">
    <w:pPr>
      <w:pStyle w:val="Rodap"/>
      <w:spacing w:after="0"/>
      <w:jc w:val="right"/>
      <w:rPr>
        <w:sz w:val="16"/>
      </w:rPr>
    </w:pPr>
    <w:r>
      <w:rPr>
        <w:sz w:val="16"/>
      </w:rPr>
      <w:t xml:space="preserve">Rua Boa Vista, 170 – </w:t>
    </w:r>
    <w:proofErr w:type="spellStart"/>
    <w:r>
      <w:rPr>
        <w:sz w:val="16"/>
      </w:rPr>
      <w:t>Cep</w:t>
    </w:r>
    <w:proofErr w:type="spellEnd"/>
    <w:r>
      <w:rPr>
        <w:sz w:val="16"/>
      </w:rPr>
      <w:t>: 01014-000 - Centro / SP</w:t>
    </w:r>
  </w:p>
  <w:p w:rsidR="0036194D" w:rsidRDefault="0036194D" w:rsidP="004236B7">
    <w:pPr>
      <w:pStyle w:val="Rodap"/>
      <w:spacing w:after="0"/>
      <w:jc w:val="right"/>
      <w:rPr>
        <w:sz w:val="16"/>
      </w:rPr>
    </w:pPr>
    <w:r>
      <w:rPr>
        <w:sz w:val="16"/>
      </w:rPr>
      <w:t>Tel.: (11) 3293-5300 - Fax: (11) 3101-9660 – atendimento@emplasa.sp.gov.br - www.emplasa.sp.gov.br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94D" w:rsidRDefault="0036194D">
      <w:r>
        <w:separator/>
      </w:r>
    </w:p>
  </w:footnote>
  <w:footnote w:type="continuationSeparator" w:id="0">
    <w:p w:rsidR="0036194D" w:rsidRDefault="0036194D">
      <w:r>
        <w:continuationSeparator/>
      </w:r>
    </w:p>
  </w:footnote>
  <w:footnote w:id="1">
    <w:p w:rsidR="0036194D" w:rsidRDefault="0036194D">
      <w:pPr>
        <w:pStyle w:val="Textodenotaderodap"/>
      </w:pPr>
      <w:r>
        <w:rPr>
          <w:rStyle w:val="Refdenotaderodap"/>
        </w:rPr>
        <w:footnoteRef/>
      </w:r>
      <w:r>
        <w:t xml:space="preserve"> Plano Diretor Participativo: guia para elaboração pelos municípios e cidadãos. Brasília: Ministério das Cidades; </w:t>
      </w:r>
      <w:proofErr w:type="spellStart"/>
      <w:r>
        <w:t>Confea</w:t>
      </w:r>
      <w:proofErr w:type="spellEnd"/>
      <w:r>
        <w:t>, 2005.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4D" w:rsidRDefault="0036194D">
    <w:pPr>
      <w:pStyle w:val="Cabealho"/>
      <w:jc w:val="right"/>
    </w:pPr>
    <w:r>
      <w:rPr>
        <w:noProof/>
        <w:sz w:val="16"/>
        <w:lang w:eastAsia="pt-BR"/>
      </w:rPr>
      <w:drawing>
        <wp:inline distT="0" distB="0" distL="0" distR="0">
          <wp:extent cx="3091769" cy="393700"/>
          <wp:effectExtent l="19050" t="0" r="0" b="0"/>
          <wp:docPr id="2" name="Imagem 2" descr="R:\emplanet\Emplasa 2012_4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planet\Emplasa 2012_46l.png"/>
                  <pic:cNvPicPr>
                    <a:picLocks noChangeAspect="1" noChangeArrowheads="1"/>
                  </pic:cNvPicPr>
                </pic:nvPicPr>
                <pic:blipFill>
                  <a:blip r:embed="rId1"/>
                  <a:stretch>
                    <a:fillRect/>
                  </a:stretch>
                </pic:blipFill>
                <pic:spPr bwMode="auto">
                  <a:xfrm>
                    <a:off x="0" y="0"/>
                    <a:ext cx="3094981" cy="39410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03F9"/>
    <w:multiLevelType w:val="hybridMultilevel"/>
    <w:tmpl w:val="611A9F96"/>
    <w:lvl w:ilvl="0" w:tplc="26EA56B8">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nsid w:val="6E840FD2"/>
    <w:multiLevelType w:val="hybridMultilevel"/>
    <w:tmpl w:val="41D88636"/>
    <w:lvl w:ilvl="0" w:tplc="CA70D37E">
      <w:start w:val="1"/>
      <w:numFmt w:val="lowerRoman"/>
      <w:lvlText w:val="%1."/>
      <w:lvlJc w:val="left"/>
      <w:pPr>
        <w:ind w:left="3555" w:hanging="72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mailMerge>
    <w:mainDocumentType w:val="formLetters"/>
    <w:linkToQuery/>
    <w:dataType w:val="textFile"/>
    <w:connectString w:val=""/>
    <w:query w:val="SELECT * FROM C:\001 - Marketing\Papelaria\Memorando Interno.dot"/>
    <w:odso/>
  </w:mailMerge>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195585"/>
  </w:hdrShapeDefaults>
  <w:footnotePr>
    <w:footnote w:id="-1"/>
    <w:footnote w:id="0"/>
  </w:footnotePr>
  <w:endnotePr>
    <w:endnote w:id="-1"/>
    <w:endnote w:id="0"/>
  </w:endnotePr>
  <w:compat/>
  <w:rsids>
    <w:rsidRoot w:val="00490237"/>
    <w:rsid w:val="00002A72"/>
    <w:rsid w:val="00006B66"/>
    <w:rsid w:val="00006DC2"/>
    <w:rsid w:val="000116E4"/>
    <w:rsid w:val="00015E94"/>
    <w:rsid w:val="000326E8"/>
    <w:rsid w:val="000372D5"/>
    <w:rsid w:val="00050192"/>
    <w:rsid w:val="000508EA"/>
    <w:rsid w:val="00053479"/>
    <w:rsid w:val="00062339"/>
    <w:rsid w:val="00063DC7"/>
    <w:rsid w:val="00065663"/>
    <w:rsid w:val="00065B15"/>
    <w:rsid w:val="00066D15"/>
    <w:rsid w:val="000674BE"/>
    <w:rsid w:val="000753F9"/>
    <w:rsid w:val="00077E2B"/>
    <w:rsid w:val="00082CF0"/>
    <w:rsid w:val="00084CA9"/>
    <w:rsid w:val="00087FA6"/>
    <w:rsid w:val="00090ED2"/>
    <w:rsid w:val="00093519"/>
    <w:rsid w:val="00094C7B"/>
    <w:rsid w:val="000B3AC2"/>
    <w:rsid w:val="000B65F5"/>
    <w:rsid w:val="000B7804"/>
    <w:rsid w:val="000C528B"/>
    <w:rsid w:val="000C774A"/>
    <w:rsid w:val="000D05E8"/>
    <w:rsid w:val="000D0896"/>
    <w:rsid w:val="000D2F0C"/>
    <w:rsid w:val="000D7A14"/>
    <w:rsid w:val="000D7A2A"/>
    <w:rsid w:val="000E34DD"/>
    <w:rsid w:val="000E381B"/>
    <w:rsid w:val="000F1990"/>
    <w:rsid w:val="00100175"/>
    <w:rsid w:val="0011084F"/>
    <w:rsid w:val="0011179E"/>
    <w:rsid w:val="00111A23"/>
    <w:rsid w:val="00115D4C"/>
    <w:rsid w:val="00116865"/>
    <w:rsid w:val="00117B13"/>
    <w:rsid w:val="00135217"/>
    <w:rsid w:val="00137C84"/>
    <w:rsid w:val="0014196F"/>
    <w:rsid w:val="00145585"/>
    <w:rsid w:val="00145B0E"/>
    <w:rsid w:val="001468B8"/>
    <w:rsid w:val="00147C19"/>
    <w:rsid w:val="001549FB"/>
    <w:rsid w:val="00166ADB"/>
    <w:rsid w:val="00173DBA"/>
    <w:rsid w:val="0017518B"/>
    <w:rsid w:val="00176B2B"/>
    <w:rsid w:val="001776EC"/>
    <w:rsid w:val="00177D3E"/>
    <w:rsid w:val="0018099B"/>
    <w:rsid w:val="001840A2"/>
    <w:rsid w:val="0019026A"/>
    <w:rsid w:val="00192DDF"/>
    <w:rsid w:val="001967BC"/>
    <w:rsid w:val="001967D9"/>
    <w:rsid w:val="001A14AF"/>
    <w:rsid w:val="001A77C8"/>
    <w:rsid w:val="001B0C18"/>
    <w:rsid w:val="001B22AC"/>
    <w:rsid w:val="001B3231"/>
    <w:rsid w:val="001B3609"/>
    <w:rsid w:val="001B4156"/>
    <w:rsid w:val="001B7F1B"/>
    <w:rsid w:val="001D565F"/>
    <w:rsid w:val="001E1905"/>
    <w:rsid w:val="001E25A5"/>
    <w:rsid w:val="001E3CFF"/>
    <w:rsid w:val="001E60ED"/>
    <w:rsid w:val="001E6786"/>
    <w:rsid w:val="001F3105"/>
    <w:rsid w:val="001F3651"/>
    <w:rsid w:val="00200DB0"/>
    <w:rsid w:val="0020361A"/>
    <w:rsid w:val="00205617"/>
    <w:rsid w:val="00214BA5"/>
    <w:rsid w:val="00220840"/>
    <w:rsid w:val="002240E5"/>
    <w:rsid w:val="0022602D"/>
    <w:rsid w:val="002265BB"/>
    <w:rsid w:val="00226734"/>
    <w:rsid w:val="00230902"/>
    <w:rsid w:val="00233384"/>
    <w:rsid w:val="0023706A"/>
    <w:rsid w:val="002376C1"/>
    <w:rsid w:val="002376DC"/>
    <w:rsid w:val="00237738"/>
    <w:rsid w:val="00240E77"/>
    <w:rsid w:val="002519F1"/>
    <w:rsid w:val="002535EF"/>
    <w:rsid w:val="00253ED1"/>
    <w:rsid w:val="00255C74"/>
    <w:rsid w:val="00257B9C"/>
    <w:rsid w:val="00263AB0"/>
    <w:rsid w:val="00267A81"/>
    <w:rsid w:val="002730A2"/>
    <w:rsid w:val="002832E6"/>
    <w:rsid w:val="002845F9"/>
    <w:rsid w:val="00284B42"/>
    <w:rsid w:val="002872EE"/>
    <w:rsid w:val="00295B80"/>
    <w:rsid w:val="00295D76"/>
    <w:rsid w:val="00297C5D"/>
    <w:rsid w:val="002A2D8A"/>
    <w:rsid w:val="002A3B77"/>
    <w:rsid w:val="002A4C95"/>
    <w:rsid w:val="002A58AA"/>
    <w:rsid w:val="002B00D4"/>
    <w:rsid w:val="002B673D"/>
    <w:rsid w:val="002B7022"/>
    <w:rsid w:val="002D1680"/>
    <w:rsid w:val="002D799A"/>
    <w:rsid w:val="002E3E85"/>
    <w:rsid w:val="002E5C33"/>
    <w:rsid w:val="002F0632"/>
    <w:rsid w:val="002F1AE1"/>
    <w:rsid w:val="002F51DF"/>
    <w:rsid w:val="003004A5"/>
    <w:rsid w:val="003043F6"/>
    <w:rsid w:val="00305200"/>
    <w:rsid w:val="00310B6B"/>
    <w:rsid w:val="003212F1"/>
    <w:rsid w:val="00322DD9"/>
    <w:rsid w:val="0032390E"/>
    <w:rsid w:val="00323CEC"/>
    <w:rsid w:val="00330870"/>
    <w:rsid w:val="003309E7"/>
    <w:rsid w:val="00332E3A"/>
    <w:rsid w:val="003366F5"/>
    <w:rsid w:val="003367EA"/>
    <w:rsid w:val="003421CF"/>
    <w:rsid w:val="00346F47"/>
    <w:rsid w:val="0035231C"/>
    <w:rsid w:val="00354164"/>
    <w:rsid w:val="00354609"/>
    <w:rsid w:val="003601E8"/>
    <w:rsid w:val="00361853"/>
    <w:rsid w:val="0036194D"/>
    <w:rsid w:val="0037127A"/>
    <w:rsid w:val="00371E21"/>
    <w:rsid w:val="00373D8D"/>
    <w:rsid w:val="003743E7"/>
    <w:rsid w:val="00376159"/>
    <w:rsid w:val="0037639D"/>
    <w:rsid w:val="003808E0"/>
    <w:rsid w:val="003847FD"/>
    <w:rsid w:val="00386A4B"/>
    <w:rsid w:val="0038788E"/>
    <w:rsid w:val="00395AD4"/>
    <w:rsid w:val="003969CD"/>
    <w:rsid w:val="003C0DDA"/>
    <w:rsid w:val="003C0F1F"/>
    <w:rsid w:val="003C18F5"/>
    <w:rsid w:val="003C1C09"/>
    <w:rsid w:val="003C2605"/>
    <w:rsid w:val="003C5269"/>
    <w:rsid w:val="003D0E72"/>
    <w:rsid w:val="003D22B4"/>
    <w:rsid w:val="003D3FA7"/>
    <w:rsid w:val="003D6AF7"/>
    <w:rsid w:val="003E0B33"/>
    <w:rsid w:val="003E1DBB"/>
    <w:rsid w:val="003E2649"/>
    <w:rsid w:val="003E78A7"/>
    <w:rsid w:val="003F184E"/>
    <w:rsid w:val="003F7302"/>
    <w:rsid w:val="00401B6D"/>
    <w:rsid w:val="004152BE"/>
    <w:rsid w:val="00421C6E"/>
    <w:rsid w:val="004236B7"/>
    <w:rsid w:val="0042617E"/>
    <w:rsid w:val="00430473"/>
    <w:rsid w:val="00434C35"/>
    <w:rsid w:val="00434C74"/>
    <w:rsid w:val="00437117"/>
    <w:rsid w:val="00443DF4"/>
    <w:rsid w:val="00452751"/>
    <w:rsid w:val="00455B81"/>
    <w:rsid w:val="0045796F"/>
    <w:rsid w:val="0046312B"/>
    <w:rsid w:val="00464781"/>
    <w:rsid w:val="004708B5"/>
    <w:rsid w:val="00471DF8"/>
    <w:rsid w:val="00475BC0"/>
    <w:rsid w:val="004823D0"/>
    <w:rsid w:val="00485D23"/>
    <w:rsid w:val="00485DD9"/>
    <w:rsid w:val="00490237"/>
    <w:rsid w:val="00495B70"/>
    <w:rsid w:val="00495C34"/>
    <w:rsid w:val="00497A33"/>
    <w:rsid w:val="004A0306"/>
    <w:rsid w:val="004A10F9"/>
    <w:rsid w:val="004A224A"/>
    <w:rsid w:val="004A385C"/>
    <w:rsid w:val="004A38E6"/>
    <w:rsid w:val="004A7CA4"/>
    <w:rsid w:val="004B3785"/>
    <w:rsid w:val="004B6BCB"/>
    <w:rsid w:val="004C00FD"/>
    <w:rsid w:val="004C058A"/>
    <w:rsid w:val="004C0EA4"/>
    <w:rsid w:val="004D442D"/>
    <w:rsid w:val="004D7D21"/>
    <w:rsid w:val="004E377A"/>
    <w:rsid w:val="004E575A"/>
    <w:rsid w:val="004E6BFE"/>
    <w:rsid w:val="004F1D87"/>
    <w:rsid w:val="004F6D7E"/>
    <w:rsid w:val="0050010D"/>
    <w:rsid w:val="00500D4B"/>
    <w:rsid w:val="00501896"/>
    <w:rsid w:val="005042CA"/>
    <w:rsid w:val="005062DA"/>
    <w:rsid w:val="00507931"/>
    <w:rsid w:val="005113D7"/>
    <w:rsid w:val="00512664"/>
    <w:rsid w:val="00517702"/>
    <w:rsid w:val="005328F8"/>
    <w:rsid w:val="00535C6E"/>
    <w:rsid w:val="00540D11"/>
    <w:rsid w:val="005421F5"/>
    <w:rsid w:val="005422E8"/>
    <w:rsid w:val="005470D0"/>
    <w:rsid w:val="005503C9"/>
    <w:rsid w:val="005505E7"/>
    <w:rsid w:val="00550F92"/>
    <w:rsid w:val="00555F85"/>
    <w:rsid w:val="00557AD2"/>
    <w:rsid w:val="00560FBB"/>
    <w:rsid w:val="00561097"/>
    <w:rsid w:val="00563A05"/>
    <w:rsid w:val="00566364"/>
    <w:rsid w:val="00567C6A"/>
    <w:rsid w:val="00574329"/>
    <w:rsid w:val="00574D21"/>
    <w:rsid w:val="005770CB"/>
    <w:rsid w:val="00581361"/>
    <w:rsid w:val="00587B25"/>
    <w:rsid w:val="00591053"/>
    <w:rsid w:val="005949A0"/>
    <w:rsid w:val="00595083"/>
    <w:rsid w:val="00597C4F"/>
    <w:rsid w:val="005A43B9"/>
    <w:rsid w:val="005A68A5"/>
    <w:rsid w:val="005A726B"/>
    <w:rsid w:val="005B7731"/>
    <w:rsid w:val="005C4AFB"/>
    <w:rsid w:val="005C5ED7"/>
    <w:rsid w:val="005C75F6"/>
    <w:rsid w:val="005D2ECF"/>
    <w:rsid w:val="005D32BA"/>
    <w:rsid w:val="005D34D8"/>
    <w:rsid w:val="005D3C0B"/>
    <w:rsid w:val="005D3D7D"/>
    <w:rsid w:val="005D7307"/>
    <w:rsid w:val="005E2A12"/>
    <w:rsid w:val="005E7AEE"/>
    <w:rsid w:val="005F129D"/>
    <w:rsid w:val="005F2084"/>
    <w:rsid w:val="005F257D"/>
    <w:rsid w:val="005F5CAF"/>
    <w:rsid w:val="005F6834"/>
    <w:rsid w:val="00600D52"/>
    <w:rsid w:val="006041F3"/>
    <w:rsid w:val="00606BCE"/>
    <w:rsid w:val="00621537"/>
    <w:rsid w:val="00623247"/>
    <w:rsid w:val="006253CC"/>
    <w:rsid w:val="006315C1"/>
    <w:rsid w:val="006411A9"/>
    <w:rsid w:val="0064297A"/>
    <w:rsid w:val="006437DD"/>
    <w:rsid w:val="00644BD4"/>
    <w:rsid w:val="00645792"/>
    <w:rsid w:val="00650AE9"/>
    <w:rsid w:val="00650BE8"/>
    <w:rsid w:val="00651083"/>
    <w:rsid w:val="00666EDF"/>
    <w:rsid w:val="006707EF"/>
    <w:rsid w:val="0067275F"/>
    <w:rsid w:val="00672959"/>
    <w:rsid w:val="006778F3"/>
    <w:rsid w:val="00680D25"/>
    <w:rsid w:val="00681F72"/>
    <w:rsid w:val="006842A1"/>
    <w:rsid w:val="00684ABC"/>
    <w:rsid w:val="00694B5C"/>
    <w:rsid w:val="006A2B6E"/>
    <w:rsid w:val="006A53AF"/>
    <w:rsid w:val="006A59FA"/>
    <w:rsid w:val="006B051A"/>
    <w:rsid w:val="006C2343"/>
    <w:rsid w:val="006C3EFC"/>
    <w:rsid w:val="006C5A57"/>
    <w:rsid w:val="006C6459"/>
    <w:rsid w:val="006C6592"/>
    <w:rsid w:val="006C6FD3"/>
    <w:rsid w:val="006E2EFF"/>
    <w:rsid w:val="006E46A4"/>
    <w:rsid w:val="006E6B96"/>
    <w:rsid w:val="006E7AB5"/>
    <w:rsid w:val="006E7E2F"/>
    <w:rsid w:val="006F03B5"/>
    <w:rsid w:val="00703677"/>
    <w:rsid w:val="0070573A"/>
    <w:rsid w:val="00705C4C"/>
    <w:rsid w:val="00712832"/>
    <w:rsid w:val="007145D1"/>
    <w:rsid w:val="00714ACE"/>
    <w:rsid w:val="00715EE3"/>
    <w:rsid w:val="0071689B"/>
    <w:rsid w:val="00717351"/>
    <w:rsid w:val="00717920"/>
    <w:rsid w:val="007241CE"/>
    <w:rsid w:val="0073463C"/>
    <w:rsid w:val="007352A0"/>
    <w:rsid w:val="007439D8"/>
    <w:rsid w:val="00744304"/>
    <w:rsid w:val="0074459C"/>
    <w:rsid w:val="0074583B"/>
    <w:rsid w:val="00750E09"/>
    <w:rsid w:val="00751246"/>
    <w:rsid w:val="007562BF"/>
    <w:rsid w:val="00761741"/>
    <w:rsid w:val="007645D1"/>
    <w:rsid w:val="007645FA"/>
    <w:rsid w:val="00765BD7"/>
    <w:rsid w:val="00772080"/>
    <w:rsid w:val="00773CF3"/>
    <w:rsid w:val="00774CCC"/>
    <w:rsid w:val="007760D5"/>
    <w:rsid w:val="00783971"/>
    <w:rsid w:val="0079328C"/>
    <w:rsid w:val="00794DAA"/>
    <w:rsid w:val="007A21D2"/>
    <w:rsid w:val="007A3FA5"/>
    <w:rsid w:val="007A4FBB"/>
    <w:rsid w:val="007B1AE7"/>
    <w:rsid w:val="007B2D5E"/>
    <w:rsid w:val="007C1A28"/>
    <w:rsid w:val="007C41DE"/>
    <w:rsid w:val="007C4801"/>
    <w:rsid w:val="007D1052"/>
    <w:rsid w:val="007D1844"/>
    <w:rsid w:val="007D7F5F"/>
    <w:rsid w:val="007E1D79"/>
    <w:rsid w:val="007E7CEA"/>
    <w:rsid w:val="007F29CF"/>
    <w:rsid w:val="008170F2"/>
    <w:rsid w:val="008201DB"/>
    <w:rsid w:val="00824A45"/>
    <w:rsid w:val="0083132A"/>
    <w:rsid w:val="008320DC"/>
    <w:rsid w:val="00832855"/>
    <w:rsid w:val="00832D81"/>
    <w:rsid w:val="008352A9"/>
    <w:rsid w:val="008362F8"/>
    <w:rsid w:val="00842264"/>
    <w:rsid w:val="008424A3"/>
    <w:rsid w:val="008459F1"/>
    <w:rsid w:val="008551C5"/>
    <w:rsid w:val="008567A1"/>
    <w:rsid w:val="00860560"/>
    <w:rsid w:val="00860680"/>
    <w:rsid w:val="00873DC7"/>
    <w:rsid w:val="008837B5"/>
    <w:rsid w:val="008845DC"/>
    <w:rsid w:val="00887085"/>
    <w:rsid w:val="0089001F"/>
    <w:rsid w:val="00891C3D"/>
    <w:rsid w:val="008944F8"/>
    <w:rsid w:val="0089629F"/>
    <w:rsid w:val="00897B45"/>
    <w:rsid w:val="008C7635"/>
    <w:rsid w:val="008C7F25"/>
    <w:rsid w:val="008D15D5"/>
    <w:rsid w:val="008D2DB9"/>
    <w:rsid w:val="008D372B"/>
    <w:rsid w:val="008D68B8"/>
    <w:rsid w:val="008E2DAF"/>
    <w:rsid w:val="008E5049"/>
    <w:rsid w:val="008E59AA"/>
    <w:rsid w:val="008F0AAA"/>
    <w:rsid w:val="008F2AD1"/>
    <w:rsid w:val="008F4761"/>
    <w:rsid w:val="008F741D"/>
    <w:rsid w:val="00901B51"/>
    <w:rsid w:val="00903747"/>
    <w:rsid w:val="00907270"/>
    <w:rsid w:val="00911E51"/>
    <w:rsid w:val="009145F5"/>
    <w:rsid w:val="009148E4"/>
    <w:rsid w:val="0091689A"/>
    <w:rsid w:val="00924FE7"/>
    <w:rsid w:val="0092635E"/>
    <w:rsid w:val="009311D8"/>
    <w:rsid w:val="00933CC8"/>
    <w:rsid w:val="00940E88"/>
    <w:rsid w:val="009427ED"/>
    <w:rsid w:val="00943ED6"/>
    <w:rsid w:val="00960C79"/>
    <w:rsid w:val="00962CBD"/>
    <w:rsid w:val="00971C1C"/>
    <w:rsid w:val="0098395C"/>
    <w:rsid w:val="0099674B"/>
    <w:rsid w:val="009A57DC"/>
    <w:rsid w:val="009B0169"/>
    <w:rsid w:val="009B156B"/>
    <w:rsid w:val="009B435C"/>
    <w:rsid w:val="009C1EA7"/>
    <w:rsid w:val="009C3251"/>
    <w:rsid w:val="009C398A"/>
    <w:rsid w:val="009C436E"/>
    <w:rsid w:val="009C4900"/>
    <w:rsid w:val="009C51B0"/>
    <w:rsid w:val="009D0629"/>
    <w:rsid w:val="009D14C2"/>
    <w:rsid w:val="009D39CA"/>
    <w:rsid w:val="009D5E1B"/>
    <w:rsid w:val="009E052C"/>
    <w:rsid w:val="009E198E"/>
    <w:rsid w:val="009E6DF9"/>
    <w:rsid w:val="009F2E31"/>
    <w:rsid w:val="009F33FC"/>
    <w:rsid w:val="00A0060E"/>
    <w:rsid w:val="00A02B7C"/>
    <w:rsid w:val="00A03FB6"/>
    <w:rsid w:val="00A060C1"/>
    <w:rsid w:val="00A06812"/>
    <w:rsid w:val="00A121C2"/>
    <w:rsid w:val="00A1336B"/>
    <w:rsid w:val="00A202C3"/>
    <w:rsid w:val="00A25117"/>
    <w:rsid w:val="00A27E59"/>
    <w:rsid w:val="00A32BFA"/>
    <w:rsid w:val="00A33CAE"/>
    <w:rsid w:val="00A406A8"/>
    <w:rsid w:val="00A4186C"/>
    <w:rsid w:val="00A422DF"/>
    <w:rsid w:val="00A433AA"/>
    <w:rsid w:val="00A46D26"/>
    <w:rsid w:val="00A51FAC"/>
    <w:rsid w:val="00A54A12"/>
    <w:rsid w:val="00A6370F"/>
    <w:rsid w:val="00A63E22"/>
    <w:rsid w:val="00A70C27"/>
    <w:rsid w:val="00A8121A"/>
    <w:rsid w:val="00A866AC"/>
    <w:rsid w:val="00A87E4D"/>
    <w:rsid w:val="00A96FDC"/>
    <w:rsid w:val="00A97636"/>
    <w:rsid w:val="00AC0E9E"/>
    <w:rsid w:val="00AC267E"/>
    <w:rsid w:val="00AC3AD1"/>
    <w:rsid w:val="00AD1139"/>
    <w:rsid w:val="00AD1857"/>
    <w:rsid w:val="00AD3974"/>
    <w:rsid w:val="00AD4320"/>
    <w:rsid w:val="00AD6378"/>
    <w:rsid w:val="00AE0D96"/>
    <w:rsid w:val="00AE10C9"/>
    <w:rsid w:val="00AE4F5D"/>
    <w:rsid w:val="00AE7108"/>
    <w:rsid w:val="00AF1333"/>
    <w:rsid w:val="00AF2C9B"/>
    <w:rsid w:val="00AF3C43"/>
    <w:rsid w:val="00AF57F2"/>
    <w:rsid w:val="00AF5900"/>
    <w:rsid w:val="00AF6AA1"/>
    <w:rsid w:val="00B0544F"/>
    <w:rsid w:val="00B05E40"/>
    <w:rsid w:val="00B07B2A"/>
    <w:rsid w:val="00B11113"/>
    <w:rsid w:val="00B121F6"/>
    <w:rsid w:val="00B1605F"/>
    <w:rsid w:val="00B26584"/>
    <w:rsid w:val="00B30FE2"/>
    <w:rsid w:val="00B33299"/>
    <w:rsid w:val="00B40D7C"/>
    <w:rsid w:val="00B41488"/>
    <w:rsid w:val="00B438E9"/>
    <w:rsid w:val="00B43BBA"/>
    <w:rsid w:val="00B4665B"/>
    <w:rsid w:val="00B52946"/>
    <w:rsid w:val="00B55907"/>
    <w:rsid w:val="00B57B59"/>
    <w:rsid w:val="00B57B8F"/>
    <w:rsid w:val="00B638DF"/>
    <w:rsid w:val="00B64051"/>
    <w:rsid w:val="00B7126B"/>
    <w:rsid w:val="00B72338"/>
    <w:rsid w:val="00B91831"/>
    <w:rsid w:val="00B96DE5"/>
    <w:rsid w:val="00BA5B78"/>
    <w:rsid w:val="00BA6FCC"/>
    <w:rsid w:val="00BB18AA"/>
    <w:rsid w:val="00BB2081"/>
    <w:rsid w:val="00BC14A3"/>
    <w:rsid w:val="00BC20B5"/>
    <w:rsid w:val="00BC3922"/>
    <w:rsid w:val="00BC4466"/>
    <w:rsid w:val="00BD0DE9"/>
    <w:rsid w:val="00BD3C5B"/>
    <w:rsid w:val="00BD49B0"/>
    <w:rsid w:val="00BE0965"/>
    <w:rsid w:val="00BE54E9"/>
    <w:rsid w:val="00BE7BAC"/>
    <w:rsid w:val="00BF1CF7"/>
    <w:rsid w:val="00BF29FB"/>
    <w:rsid w:val="00BF34DE"/>
    <w:rsid w:val="00BF4F10"/>
    <w:rsid w:val="00BF5CED"/>
    <w:rsid w:val="00C0112A"/>
    <w:rsid w:val="00C013F3"/>
    <w:rsid w:val="00C014C2"/>
    <w:rsid w:val="00C03423"/>
    <w:rsid w:val="00C07350"/>
    <w:rsid w:val="00C07A77"/>
    <w:rsid w:val="00C10B4F"/>
    <w:rsid w:val="00C152D0"/>
    <w:rsid w:val="00C15420"/>
    <w:rsid w:val="00C17187"/>
    <w:rsid w:val="00C20CBB"/>
    <w:rsid w:val="00C2155D"/>
    <w:rsid w:val="00C24C87"/>
    <w:rsid w:val="00C30A8E"/>
    <w:rsid w:val="00C3461A"/>
    <w:rsid w:val="00C35009"/>
    <w:rsid w:val="00C36BD6"/>
    <w:rsid w:val="00C40553"/>
    <w:rsid w:val="00C43774"/>
    <w:rsid w:val="00C4516F"/>
    <w:rsid w:val="00C471EF"/>
    <w:rsid w:val="00C55CF5"/>
    <w:rsid w:val="00C61FCD"/>
    <w:rsid w:val="00C63F8B"/>
    <w:rsid w:val="00C652F0"/>
    <w:rsid w:val="00C67864"/>
    <w:rsid w:val="00C71C1C"/>
    <w:rsid w:val="00C77382"/>
    <w:rsid w:val="00C82993"/>
    <w:rsid w:val="00C845D4"/>
    <w:rsid w:val="00C97A60"/>
    <w:rsid w:val="00CA0644"/>
    <w:rsid w:val="00CA50C1"/>
    <w:rsid w:val="00CA5E97"/>
    <w:rsid w:val="00CA699C"/>
    <w:rsid w:val="00CB6D01"/>
    <w:rsid w:val="00CB6D06"/>
    <w:rsid w:val="00CC42CA"/>
    <w:rsid w:val="00CD1588"/>
    <w:rsid w:val="00CE2BF8"/>
    <w:rsid w:val="00CE5E8B"/>
    <w:rsid w:val="00CE7AB2"/>
    <w:rsid w:val="00CF06A6"/>
    <w:rsid w:val="00D0656D"/>
    <w:rsid w:val="00D107FC"/>
    <w:rsid w:val="00D10D2F"/>
    <w:rsid w:val="00D1415A"/>
    <w:rsid w:val="00D156EB"/>
    <w:rsid w:val="00D162A9"/>
    <w:rsid w:val="00D17AF4"/>
    <w:rsid w:val="00D2124E"/>
    <w:rsid w:val="00D236A1"/>
    <w:rsid w:val="00D303F9"/>
    <w:rsid w:val="00D41DDE"/>
    <w:rsid w:val="00D43015"/>
    <w:rsid w:val="00D447AE"/>
    <w:rsid w:val="00D45E72"/>
    <w:rsid w:val="00D47CFD"/>
    <w:rsid w:val="00D52E87"/>
    <w:rsid w:val="00D55764"/>
    <w:rsid w:val="00D66811"/>
    <w:rsid w:val="00D67456"/>
    <w:rsid w:val="00D72B68"/>
    <w:rsid w:val="00D74EE7"/>
    <w:rsid w:val="00D83526"/>
    <w:rsid w:val="00D8562E"/>
    <w:rsid w:val="00D9070E"/>
    <w:rsid w:val="00D91F09"/>
    <w:rsid w:val="00D92092"/>
    <w:rsid w:val="00D95C09"/>
    <w:rsid w:val="00DA3B16"/>
    <w:rsid w:val="00DA764F"/>
    <w:rsid w:val="00DB74B6"/>
    <w:rsid w:val="00DD22F5"/>
    <w:rsid w:val="00DE44AA"/>
    <w:rsid w:val="00DE5E08"/>
    <w:rsid w:val="00DE7BB9"/>
    <w:rsid w:val="00DF198F"/>
    <w:rsid w:val="00DF3E0A"/>
    <w:rsid w:val="00DF549B"/>
    <w:rsid w:val="00DF798D"/>
    <w:rsid w:val="00E00DBD"/>
    <w:rsid w:val="00E0660A"/>
    <w:rsid w:val="00E1388A"/>
    <w:rsid w:val="00E17B48"/>
    <w:rsid w:val="00E22211"/>
    <w:rsid w:val="00E22922"/>
    <w:rsid w:val="00E231ED"/>
    <w:rsid w:val="00E31D12"/>
    <w:rsid w:val="00E40634"/>
    <w:rsid w:val="00E41708"/>
    <w:rsid w:val="00E458CC"/>
    <w:rsid w:val="00E45D76"/>
    <w:rsid w:val="00E64479"/>
    <w:rsid w:val="00E70DD7"/>
    <w:rsid w:val="00E71B61"/>
    <w:rsid w:val="00E73A38"/>
    <w:rsid w:val="00E77194"/>
    <w:rsid w:val="00E9003C"/>
    <w:rsid w:val="00E900EE"/>
    <w:rsid w:val="00E91FBA"/>
    <w:rsid w:val="00E93301"/>
    <w:rsid w:val="00E94183"/>
    <w:rsid w:val="00E94FF3"/>
    <w:rsid w:val="00E952D5"/>
    <w:rsid w:val="00E96512"/>
    <w:rsid w:val="00EA4E61"/>
    <w:rsid w:val="00EB2216"/>
    <w:rsid w:val="00EB7E51"/>
    <w:rsid w:val="00EC4896"/>
    <w:rsid w:val="00ED0FB4"/>
    <w:rsid w:val="00EE1B4C"/>
    <w:rsid w:val="00EE5A92"/>
    <w:rsid w:val="00EE7990"/>
    <w:rsid w:val="00EE7CC9"/>
    <w:rsid w:val="00EF0285"/>
    <w:rsid w:val="00EF6255"/>
    <w:rsid w:val="00EF65D4"/>
    <w:rsid w:val="00EF660F"/>
    <w:rsid w:val="00EF6C53"/>
    <w:rsid w:val="00F046F8"/>
    <w:rsid w:val="00F063FE"/>
    <w:rsid w:val="00F07C3E"/>
    <w:rsid w:val="00F1003A"/>
    <w:rsid w:val="00F12BA1"/>
    <w:rsid w:val="00F162D5"/>
    <w:rsid w:val="00F16A9C"/>
    <w:rsid w:val="00F21E9F"/>
    <w:rsid w:val="00F22CC9"/>
    <w:rsid w:val="00F34219"/>
    <w:rsid w:val="00F50A21"/>
    <w:rsid w:val="00F70141"/>
    <w:rsid w:val="00F7066C"/>
    <w:rsid w:val="00F728DF"/>
    <w:rsid w:val="00F840B7"/>
    <w:rsid w:val="00F93563"/>
    <w:rsid w:val="00F935B0"/>
    <w:rsid w:val="00F97A03"/>
    <w:rsid w:val="00FA1147"/>
    <w:rsid w:val="00FA76F6"/>
    <w:rsid w:val="00FB311A"/>
    <w:rsid w:val="00FB35FC"/>
    <w:rsid w:val="00FB722A"/>
    <w:rsid w:val="00FC095F"/>
    <w:rsid w:val="00FC3A6E"/>
    <w:rsid w:val="00FC3BEC"/>
    <w:rsid w:val="00FC4C88"/>
    <w:rsid w:val="00FC6DA5"/>
    <w:rsid w:val="00FC75B4"/>
    <w:rsid w:val="00FD7E88"/>
    <w:rsid w:val="00FE5722"/>
    <w:rsid w:val="00FF177D"/>
    <w:rsid w:val="00FF7D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85C"/>
    <w:pPr>
      <w:spacing w:after="200" w:line="276"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uiPriority w:val="9"/>
    <w:qFormat/>
    <w:rsid w:val="00BC20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FF7D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semiHidden/>
    <w:rsid w:val="008424A3"/>
    <w:pPr>
      <w:tabs>
        <w:tab w:val="center" w:pos="4419"/>
        <w:tab w:val="right" w:pos="8838"/>
      </w:tabs>
    </w:pPr>
  </w:style>
  <w:style w:type="paragraph" w:styleId="Rodap">
    <w:name w:val="footer"/>
    <w:basedOn w:val="Normal"/>
    <w:semiHidden/>
    <w:rsid w:val="008424A3"/>
    <w:pPr>
      <w:tabs>
        <w:tab w:val="center" w:pos="4419"/>
        <w:tab w:val="right" w:pos="8838"/>
      </w:tabs>
    </w:pPr>
  </w:style>
  <w:style w:type="character" w:styleId="Hyperlink">
    <w:name w:val="Hyperlink"/>
    <w:basedOn w:val="Fontepargpadro"/>
    <w:semiHidden/>
    <w:rsid w:val="008424A3"/>
    <w:rPr>
      <w:color w:val="0000FF"/>
      <w:u w:val="single"/>
    </w:rPr>
  </w:style>
  <w:style w:type="paragraph" w:styleId="Textodebalo">
    <w:name w:val="Balloon Text"/>
    <w:basedOn w:val="Normal"/>
    <w:link w:val="TextodebaloChar"/>
    <w:uiPriority w:val="99"/>
    <w:semiHidden/>
    <w:unhideWhenUsed/>
    <w:rsid w:val="00C63F8B"/>
    <w:rPr>
      <w:rFonts w:ascii="Tahoma" w:hAnsi="Tahoma" w:cs="Tahoma"/>
      <w:sz w:val="16"/>
      <w:szCs w:val="16"/>
    </w:rPr>
  </w:style>
  <w:style w:type="character" w:customStyle="1" w:styleId="TextodebaloChar">
    <w:name w:val="Texto de balão Char"/>
    <w:basedOn w:val="Fontepargpadro"/>
    <w:link w:val="Textodebalo"/>
    <w:uiPriority w:val="99"/>
    <w:semiHidden/>
    <w:rsid w:val="00C63F8B"/>
    <w:rPr>
      <w:rFonts w:ascii="Tahoma" w:hAnsi="Tahoma" w:cs="Tahoma"/>
      <w:sz w:val="16"/>
      <w:szCs w:val="16"/>
    </w:rPr>
  </w:style>
  <w:style w:type="table" w:styleId="Tabelacomgrade">
    <w:name w:val="Table Grid"/>
    <w:basedOn w:val="Tabelanormal"/>
    <w:uiPriority w:val="59"/>
    <w:rsid w:val="00BD0D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bsico">
    <w:name w:val="[Parágrafo básico]"/>
    <w:basedOn w:val="Normal"/>
    <w:uiPriority w:val="99"/>
    <w:rsid w:val="004A385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Corpo">
    <w:name w:val="Corpo"/>
    <w:uiPriority w:val="99"/>
    <w:rsid w:val="004A385C"/>
    <w:rPr>
      <w:rFonts w:ascii="Arial" w:hAnsi="Arial" w:cs="Arial"/>
      <w:sz w:val="24"/>
      <w:szCs w:val="24"/>
    </w:rPr>
  </w:style>
  <w:style w:type="character" w:customStyle="1" w:styleId="Corpo2">
    <w:name w:val="Corpo 2"/>
    <w:basedOn w:val="Corpo"/>
    <w:uiPriority w:val="99"/>
    <w:rsid w:val="004A385C"/>
    <w:rPr>
      <w:b/>
      <w:bCs/>
      <w:u w:val="thick"/>
    </w:rPr>
  </w:style>
  <w:style w:type="paragraph" w:customStyle="1" w:styleId="Pa1">
    <w:name w:val="Pa1"/>
    <w:basedOn w:val="Normal"/>
    <w:next w:val="Normal"/>
    <w:uiPriority w:val="99"/>
    <w:rsid w:val="00082CF0"/>
    <w:pPr>
      <w:autoSpaceDE w:val="0"/>
      <w:autoSpaceDN w:val="0"/>
      <w:adjustRightInd w:val="0"/>
      <w:spacing w:after="0" w:line="241" w:lineRule="atLeast"/>
    </w:pPr>
    <w:rPr>
      <w:rFonts w:ascii="Arial" w:eastAsia="Times New Roman" w:hAnsi="Arial" w:cs="Arial"/>
      <w:sz w:val="24"/>
      <w:szCs w:val="24"/>
      <w:lang w:eastAsia="pt-BR"/>
    </w:rPr>
  </w:style>
  <w:style w:type="character" w:customStyle="1" w:styleId="A5">
    <w:name w:val="A5"/>
    <w:uiPriority w:val="99"/>
    <w:rsid w:val="00094C7B"/>
    <w:rPr>
      <w:color w:val="000000"/>
      <w:sz w:val="22"/>
      <w:szCs w:val="22"/>
    </w:rPr>
  </w:style>
  <w:style w:type="character" w:customStyle="1" w:styleId="A4">
    <w:name w:val="A4"/>
    <w:uiPriority w:val="99"/>
    <w:rsid w:val="00E1388A"/>
    <w:rPr>
      <w:color w:val="000000"/>
      <w:sz w:val="22"/>
      <w:szCs w:val="22"/>
    </w:rPr>
  </w:style>
  <w:style w:type="paragraph" w:customStyle="1" w:styleId="Pa0">
    <w:name w:val="Pa0"/>
    <w:basedOn w:val="Normal"/>
    <w:next w:val="Normal"/>
    <w:uiPriority w:val="99"/>
    <w:rsid w:val="00B1605F"/>
    <w:pPr>
      <w:autoSpaceDE w:val="0"/>
      <w:autoSpaceDN w:val="0"/>
      <w:adjustRightInd w:val="0"/>
      <w:spacing w:after="0" w:line="241" w:lineRule="atLeast"/>
    </w:pPr>
    <w:rPr>
      <w:rFonts w:ascii="Minion Pro" w:eastAsia="Times New Roman" w:hAnsi="Minion Pro" w:cs="Times New Roman"/>
      <w:sz w:val="24"/>
      <w:szCs w:val="24"/>
      <w:lang w:eastAsia="pt-BR"/>
    </w:rPr>
  </w:style>
  <w:style w:type="character" w:customStyle="1" w:styleId="Ttulo2Char">
    <w:name w:val="Título 2 Char"/>
    <w:basedOn w:val="Fontepargpadro"/>
    <w:link w:val="Ttulo2"/>
    <w:uiPriority w:val="9"/>
    <w:semiHidden/>
    <w:rsid w:val="00FF7DCD"/>
    <w:rPr>
      <w:rFonts w:asciiTheme="majorHAnsi" w:eastAsiaTheme="majorEastAsia" w:hAnsiTheme="majorHAnsi" w:cstheme="majorBidi"/>
      <w:b/>
      <w:bCs/>
      <w:color w:val="4F81BD" w:themeColor="accent1"/>
      <w:sz w:val="26"/>
      <w:szCs w:val="26"/>
      <w:lang w:eastAsia="en-US"/>
    </w:rPr>
  </w:style>
  <w:style w:type="paragraph" w:customStyle="1" w:styleId="Default">
    <w:name w:val="Default"/>
    <w:rsid w:val="00220840"/>
    <w:pPr>
      <w:autoSpaceDE w:val="0"/>
      <w:autoSpaceDN w:val="0"/>
      <w:adjustRightInd w:val="0"/>
    </w:pPr>
    <w:rPr>
      <w:rFonts w:ascii="Bookman Old Style" w:hAnsi="Bookman Old Style" w:cs="Bookman Old Style"/>
      <w:color w:val="000000"/>
      <w:sz w:val="24"/>
      <w:szCs w:val="24"/>
    </w:rPr>
  </w:style>
  <w:style w:type="character" w:customStyle="1" w:styleId="Ttulo1Char">
    <w:name w:val="Título 1 Char"/>
    <w:basedOn w:val="Fontepargpadro"/>
    <w:link w:val="Ttulo1"/>
    <w:uiPriority w:val="9"/>
    <w:rsid w:val="00BC20B5"/>
    <w:rPr>
      <w:rFonts w:asciiTheme="majorHAnsi" w:eastAsiaTheme="majorEastAsia" w:hAnsiTheme="majorHAnsi" w:cstheme="majorBidi"/>
      <w:b/>
      <w:bCs/>
      <w:color w:val="365F91" w:themeColor="accent1" w:themeShade="BF"/>
      <w:sz w:val="28"/>
      <w:szCs w:val="28"/>
      <w:lang w:eastAsia="en-US"/>
    </w:rPr>
  </w:style>
  <w:style w:type="paragraph" w:customStyle="1" w:styleId="Pa2">
    <w:name w:val="Pa2"/>
    <w:basedOn w:val="Default"/>
    <w:next w:val="Default"/>
    <w:uiPriority w:val="99"/>
    <w:rsid w:val="00BB18AA"/>
    <w:pPr>
      <w:spacing w:line="241" w:lineRule="atLeast"/>
    </w:pPr>
    <w:rPr>
      <w:rFonts w:ascii="Minion Pro" w:hAnsi="Minion Pro" w:cs="Times New Roman"/>
      <w:color w:val="auto"/>
    </w:rPr>
  </w:style>
  <w:style w:type="paragraph" w:styleId="Textodenotaderodap">
    <w:name w:val="footnote text"/>
    <w:basedOn w:val="Normal"/>
    <w:link w:val="TextodenotaderodapChar"/>
    <w:uiPriority w:val="99"/>
    <w:semiHidden/>
    <w:unhideWhenUsed/>
    <w:rsid w:val="00C013F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013F3"/>
    <w:rPr>
      <w:rFonts w:asciiTheme="minorHAnsi" w:eastAsiaTheme="minorHAnsi" w:hAnsiTheme="minorHAnsi" w:cstheme="minorBidi"/>
      <w:lang w:eastAsia="en-US"/>
    </w:rPr>
  </w:style>
  <w:style w:type="character" w:styleId="Refdenotaderodap">
    <w:name w:val="footnote reference"/>
    <w:basedOn w:val="Fontepargpadro"/>
    <w:uiPriority w:val="99"/>
    <w:semiHidden/>
    <w:unhideWhenUsed/>
    <w:rsid w:val="00C013F3"/>
    <w:rPr>
      <w:vertAlign w:val="superscript"/>
    </w:rPr>
  </w:style>
</w:styles>
</file>

<file path=word/webSettings.xml><?xml version="1.0" encoding="utf-8"?>
<w:webSettings xmlns:r="http://schemas.openxmlformats.org/officeDocument/2006/relationships" xmlns:w="http://schemas.openxmlformats.org/wordprocessingml/2006/main">
  <w:divs>
    <w:div w:id="21901207">
      <w:bodyDiv w:val="1"/>
      <w:marLeft w:val="0"/>
      <w:marRight w:val="0"/>
      <w:marTop w:val="0"/>
      <w:marBottom w:val="0"/>
      <w:divBdr>
        <w:top w:val="none" w:sz="0" w:space="0" w:color="auto"/>
        <w:left w:val="none" w:sz="0" w:space="0" w:color="auto"/>
        <w:bottom w:val="none" w:sz="0" w:space="0" w:color="auto"/>
        <w:right w:val="none" w:sz="0" w:space="0" w:color="auto"/>
      </w:divBdr>
    </w:div>
    <w:div w:id="280919197">
      <w:bodyDiv w:val="1"/>
      <w:marLeft w:val="0"/>
      <w:marRight w:val="0"/>
      <w:marTop w:val="0"/>
      <w:marBottom w:val="0"/>
      <w:divBdr>
        <w:top w:val="none" w:sz="0" w:space="0" w:color="auto"/>
        <w:left w:val="none" w:sz="0" w:space="0" w:color="auto"/>
        <w:bottom w:val="none" w:sz="0" w:space="0" w:color="auto"/>
        <w:right w:val="none" w:sz="0" w:space="0" w:color="auto"/>
      </w:divBdr>
    </w:div>
    <w:div w:id="896860594">
      <w:bodyDiv w:val="1"/>
      <w:marLeft w:val="0"/>
      <w:marRight w:val="0"/>
      <w:marTop w:val="0"/>
      <w:marBottom w:val="0"/>
      <w:divBdr>
        <w:top w:val="none" w:sz="0" w:space="0" w:color="auto"/>
        <w:left w:val="none" w:sz="0" w:space="0" w:color="auto"/>
        <w:bottom w:val="none" w:sz="0" w:space="0" w:color="auto"/>
        <w:right w:val="none" w:sz="0" w:space="0" w:color="auto"/>
      </w:divBdr>
    </w:div>
    <w:div w:id="1162550423">
      <w:bodyDiv w:val="1"/>
      <w:marLeft w:val="0"/>
      <w:marRight w:val="0"/>
      <w:marTop w:val="0"/>
      <w:marBottom w:val="0"/>
      <w:divBdr>
        <w:top w:val="none" w:sz="0" w:space="0" w:color="auto"/>
        <w:left w:val="none" w:sz="0" w:space="0" w:color="auto"/>
        <w:bottom w:val="none" w:sz="0" w:space="0" w:color="auto"/>
        <w:right w:val="none" w:sz="0" w:space="0" w:color="auto"/>
      </w:divBdr>
    </w:div>
    <w:div w:id="1292250026">
      <w:bodyDiv w:val="1"/>
      <w:marLeft w:val="0"/>
      <w:marRight w:val="0"/>
      <w:marTop w:val="0"/>
      <w:marBottom w:val="0"/>
      <w:divBdr>
        <w:top w:val="none" w:sz="0" w:space="0" w:color="auto"/>
        <w:left w:val="none" w:sz="0" w:space="0" w:color="auto"/>
        <w:bottom w:val="none" w:sz="0" w:space="0" w:color="auto"/>
        <w:right w:val="none" w:sz="0" w:space="0" w:color="auto"/>
      </w:divBdr>
    </w:div>
    <w:div w:id="1368947305">
      <w:bodyDiv w:val="1"/>
      <w:marLeft w:val="0"/>
      <w:marRight w:val="0"/>
      <w:marTop w:val="0"/>
      <w:marBottom w:val="0"/>
      <w:divBdr>
        <w:top w:val="none" w:sz="0" w:space="0" w:color="auto"/>
        <w:left w:val="none" w:sz="0" w:space="0" w:color="auto"/>
        <w:bottom w:val="none" w:sz="0" w:space="0" w:color="auto"/>
        <w:right w:val="none" w:sz="0" w:space="0" w:color="auto"/>
      </w:divBdr>
    </w:div>
    <w:div w:id="1558202752">
      <w:bodyDiv w:val="1"/>
      <w:marLeft w:val="0"/>
      <w:marRight w:val="0"/>
      <w:marTop w:val="0"/>
      <w:marBottom w:val="0"/>
      <w:divBdr>
        <w:top w:val="none" w:sz="0" w:space="0" w:color="auto"/>
        <w:left w:val="none" w:sz="0" w:space="0" w:color="auto"/>
        <w:bottom w:val="none" w:sz="0" w:space="0" w:color="auto"/>
        <w:right w:val="none" w:sz="0" w:space="0" w:color="auto"/>
      </w:divBdr>
    </w:div>
    <w:div w:id="1744599551">
      <w:bodyDiv w:val="1"/>
      <w:marLeft w:val="0"/>
      <w:marRight w:val="0"/>
      <w:marTop w:val="0"/>
      <w:marBottom w:val="0"/>
      <w:divBdr>
        <w:top w:val="none" w:sz="0" w:space="0" w:color="auto"/>
        <w:left w:val="none" w:sz="0" w:space="0" w:color="auto"/>
        <w:bottom w:val="none" w:sz="0" w:space="0" w:color="auto"/>
        <w:right w:val="none" w:sz="0" w:space="0" w:color="auto"/>
      </w:divBdr>
    </w:div>
    <w:div w:id="190324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rtins\Downloads\Capa-de-Relatorio-2016.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AF7CB-CFC5-4D77-9355-593F9404B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Capa-de-Relatorio-2016.dotx</Template>
  <TotalTime>5</TotalTime>
  <Pages>10</Pages>
  <Words>1715</Words>
  <Characters>10802</Characters>
  <Application>Microsoft Office Word</Application>
  <DocSecurity>4</DocSecurity>
  <Lines>90</Lines>
  <Paragraphs>24</Paragraphs>
  <ScaleCrop>false</ScaleCrop>
  <HeadingPairs>
    <vt:vector size="2" baseType="variant">
      <vt:variant>
        <vt:lpstr>Título</vt:lpstr>
      </vt:variant>
      <vt:variant>
        <vt:i4>1</vt:i4>
      </vt:variant>
    </vt:vector>
  </HeadingPairs>
  <TitlesOfParts>
    <vt:vector size="1" baseType="lpstr">
      <vt:lpstr/>
    </vt:vector>
  </TitlesOfParts>
  <Company>EMPLASA</Company>
  <LinksUpToDate>false</LinksUpToDate>
  <CharactersWithSpaces>12493</CharactersWithSpaces>
  <SharedDoc>false</SharedDoc>
  <HLinks>
    <vt:vector size="6" baseType="variant">
      <vt:variant>
        <vt:i4>4063261</vt:i4>
      </vt:variant>
      <vt:variant>
        <vt:i4>1025</vt:i4>
      </vt:variant>
      <vt:variant>
        <vt:i4>1025</vt:i4>
      </vt:variant>
      <vt:variant>
        <vt:i4>1</vt:i4>
      </vt:variant>
      <vt:variant>
        <vt:lpwstr>C:\1-CMC-Mattar\logos\Emplasa-2000.tif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mmartins</dc:creator>
  <cp:lastModifiedBy>ltrombeta</cp:lastModifiedBy>
  <cp:revision>2</cp:revision>
  <cp:lastPrinted>2018-09-03T14:44:00Z</cp:lastPrinted>
  <dcterms:created xsi:type="dcterms:W3CDTF">2018-11-28T20:07:00Z</dcterms:created>
  <dcterms:modified xsi:type="dcterms:W3CDTF">2018-11-28T20:07:00Z</dcterms:modified>
</cp:coreProperties>
</file>